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46" w:rsidRDefault="00340B46" w:rsidP="008C5FF6">
      <w:pPr>
        <w:spacing w:after="0" w:line="240" w:lineRule="auto"/>
        <w:contextualSpacing/>
        <w:jc w:val="center"/>
        <w:rPr>
          <w:rFonts w:cs="Arial"/>
          <w:b/>
          <w:sz w:val="24"/>
          <w:szCs w:val="24"/>
          <w:highlight w:val="yellow"/>
        </w:rPr>
      </w:pPr>
    </w:p>
    <w:p w:rsidR="00DE44CC" w:rsidRPr="008C5FF6" w:rsidRDefault="00DE44CC" w:rsidP="008C5FF6">
      <w:pPr>
        <w:spacing w:after="0" w:line="240" w:lineRule="auto"/>
        <w:contextualSpacing/>
        <w:jc w:val="center"/>
        <w:rPr>
          <w:rFonts w:cs="Arial"/>
          <w:b/>
          <w:sz w:val="24"/>
          <w:szCs w:val="24"/>
        </w:rPr>
      </w:pPr>
      <w:r w:rsidRPr="00C16371">
        <w:rPr>
          <w:rFonts w:cs="Arial"/>
          <w:b/>
          <w:sz w:val="24"/>
          <w:szCs w:val="24"/>
        </w:rPr>
        <w:t xml:space="preserve">Transforming </w:t>
      </w:r>
      <w:r w:rsidR="008C56C0" w:rsidRPr="00C16371">
        <w:rPr>
          <w:rFonts w:cs="Arial"/>
          <w:b/>
          <w:sz w:val="24"/>
          <w:szCs w:val="24"/>
        </w:rPr>
        <w:t xml:space="preserve">Local </w:t>
      </w:r>
      <w:r w:rsidRPr="00C16371">
        <w:rPr>
          <w:rFonts w:cs="Arial"/>
          <w:b/>
          <w:sz w:val="24"/>
          <w:szCs w:val="24"/>
        </w:rPr>
        <w:t>Government Service Delivery</w:t>
      </w:r>
      <w:r w:rsidR="008C5FF6" w:rsidRPr="00C16371">
        <w:rPr>
          <w:rFonts w:cs="Arial"/>
          <w:b/>
          <w:sz w:val="24"/>
          <w:szCs w:val="24"/>
        </w:rPr>
        <w:t xml:space="preserve"> through Technology</w:t>
      </w:r>
      <w:r w:rsidR="008C5FF6" w:rsidRPr="008C5FF6">
        <w:rPr>
          <w:rFonts w:cs="Arial"/>
          <w:b/>
          <w:sz w:val="24"/>
          <w:szCs w:val="24"/>
        </w:rPr>
        <w:t xml:space="preserve"> </w:t>
      </w:r>
    </w:p>
    <w:p w:rsidR="00363CF7" w:rsidRPr="008C5FF6" w:rsidRDefault="00284CC7" w:rsidP="00DE44CC">
      <w:pPr>
        <w:spacing w:after="0" w:line="240" w:lineRule="auto"/>
        <w:contextualSpacing/>
        <w:jc w:val="center"/>
        <w:rPr>
          <w:rFonts w:cs="Arial"/>
          <w:b/>
          <w:sz w:val="24"/>
          <w:szCs w:val="24"/>
        </w:rPr>
      </w:pPr>
      <w:r w:rsidRPr="008C5FF6">
        <w:rPr>
          <w:rFonts w:cs="Arial"/>
          <w:b/>
          <w:sz w:val="24"/>
          <w:szCs w:val="24"/>
        </w:rPr>
        <w:t>Technology</w:t>
      </w:r>
      <w:r w:rsidR="00564E8C" w:rsidRPr="008C5FF6">
        <w:rPr>
          <w:rFonts w:cs="Arial"/>
          <w:b/>
          <w:sz w:val="24"/>
          <w:szCs w:val="24"/>
        </w:rPr>
        <w:t xml:space="preserve"> Sub</w:t>
      </w:r>
      <w:r w:rsidR="00E46E2B" w:rsidRPr="008C5FF6">
        <w:rPr>
          <w:rFonts w:cs="Arial"/>
          <w:b/>
          <w:sz w:val="24"/>
          <w:szCs w:val="24"/>
        </w:rPr>
        <w:t xml:space="preserve">committee of the </w:t>
      </w:r>
      <w:r w:rsidR="00845803" w:rsidRPr="008C5FF6">
        <w:rPr>
          <w:rFonts w:cs="Arial"/>
          <w:b/>
          <w:sz w:val="24"/>
          <w:szCs w:val="24"/>
        </w:rPr>
        <w:t xml:space="preserve">MORE </w:t>
      </w:r>
      <w:r w:rsidRPr="008C5FF6">
        <w:rPr>
          <w:rFonts w:cs="Arial"/>
          <w:b/>
          <w:sz w:val="24"/>
          <w:szCs w:val="24"/>
        </w:rPr>
        <w:t>Municipal Efficiencies</w:t>
      </w:r>
      <w:r w:rsidR="00E46E2B" w:rsidRPr="008C5FF6">
        <w:rPr>
          <w:rFonts w:cs="Arial"/>
          <w:b/>
          <w:sz w:val="24"/>
          <w:szCs w:val="24"/>
        </w:rPr>
        <w:t xml:space="preserve"> Committee</w:t>
      </w:r>
    </w:p>
    <w:p w:rsidR="00FB152F" w:rsidRDefault="00623F1A" w:rsidP="00DE44CC">
      <w:pPr>
        <w:spacing w:after="0" w:line="240" w:lineRule="auto"/>
        <w:contextualSpacing/>
        <w:jc w:val="center"/>
        <w:rPr>
          <w:rFonts w:cs="Arial"/>
          <w:b/>
          <w:sz w:val="24"/>
          <w:szCs w:val="24"/>
        </w:rPr>
      </w:pPr>
      <w:r>
        <w:rPr>
          <w:rFonts w:cs="Arial"/>
          <w:b/>
          <w:sz w:val="24"/>
          <w:szCs w:val="24"/>
        </w:rPr>
        <w:t>October</w:t>
      </w:r>
      <w:r w:rsidR="00284CC7" w:rsidRPr="008C5FF6">
        <w:rPr>
          <w:rFonts w:cs="Arial"/>
          <w:b/>
          <w:sz w:val="24"/>
          <w:szCs w:val="24"/>
        </w:rPr>
        <w:t xml:space="preserve"> </w:t>
      </w:r>
      <w:bookmarkStart w:id="0" w:name="_GoBack"/>
      <w:bookmarkEnd w:id="0"/>
      <w:r w:rsidR="00284CC7" w:rsidRPr="008C5FF6">
        <w:rPr>
          <w:rFonts w:cs="Arial"/>
          <w:b/>
          <w:sz w:val="24"/>
          <w:szCs w:val="24"/>
        </w:rPr>
        <w:t>201</w:t>
      </w:r>
      <w:r w:rsidR="003376E6" w:rsidRPr="008C5FF6">
        <w:rPr>
          <w:rFonts w:cs="Arial"/>
          <w:b/>
          <w:sz w:val="24"/>
          <w:szCs w:val="24"/>
        </w:rPr>
        <w:t>5</w:t>
      </w:r>
      <w:r w:rsidR="00FA1560">
        <w:rPr>
          <w:rFonts w:cs="Arial"/>
          <w:b/>
          <w:sz w:val="24"/>
          <w:szCs w:val="24"/>
        </w:rPr>
        <w:t xml:space="preserve"> </w:t>
      </w:r>
    </w:p>
    <w:p w:rsidR="00AF0D73" w:rsidRDefault="00AF0D73" w:rsidP="00DE44CC">
      <w:pPr>
        <w:spacing w:after="0" w:line="240" w:lineRule="auto"/>
        <w:contextualSpacing/>
        <w:jc w:val="center"/>
        <w:rPr>
          <w:rFonts w:cs="Arial"/>
          <w:b/>
          <w:sz w:val="24"/>
          <w:szCs w:val="24"/>
        </w:rPr>
      </w:pPr>
    </w:p>
    <w:p w:rsidR="007C22B4" w:rsidRPr="00AF0D73" w:rsidRDefault="00FA1560" w:rsidP="00DE44CC">
      <w:pPr>
        <w:spacing w:after="0" w:line="240" w:lineRule="auto"/>
        <w:contextualSpacing/>
        <w:jc w:val="center"/>
        <w:rPr>
          <w:rFonts w:cs="Arial"/>
          <w:b/>
          <w:sz w:val="32"/>
          <w:szCs w:val="32"/>
        </w:rPr>
      </w:pPr>
      <w:r w:rsidRPr="00AF0D73">
        <w:rPr>
          <w:rFonts w:cs="Arial"/>
          <w:b/>
          <w:sz w:val="32"/>
          <w:szCs w:val="32"/>
        </w:rPr>
        <w:t>DRAFT REPORT</w:t>
      </w:r>
    </w:p>
    <w:p w:rsidR="007C22B4" w:rsidRPr="008C5FF6" w:rsidRDefault="007C22B4" w:rsidP="00DE44CC">
      <w:pPr>
        <w:spacing w:after="0" w:line="240" w:lineRule="auto"/>
        <w:contextualSpacing/>
        <w:rPr>
          <w:rFonts w:cs="Arial"/>
          <w:sz w:val="24"/>
          <w:szCs w:val="24"/>
        </w:rPr>
      </w:pPr>
    </w:p>
    <w:p w:rsidR="00E46E2B" w:rsidRPr="00B8469F" w:rsidRDefault="00E46E2B" w:rsidP="00DE44CC">
      <w:pPr>
        <w:spacing w:after="0" w:line="240" w:lineRule="auto"/>
        <w:contextualSpacing/>
        <w:rPr>
          <w:rFonts w:cs="Arial"/>
          <w:sz w:val="24"/>
          <w:szCs w:val="24"/>
        </w:rPr>
      </w:pPr>
      <w:r w:rsidRPr="008C5FF6">
        <w:rPr>
          <w:rFonts w:cs="Arial"/>
          <w:b/>
          <w:sz w:val="24"/>
          <w:szCs w:val="24"/>
        </w:rPr>
        <w:t>Goal:</w:t>
      </w:r>
      <w:r w:rsidRPr="008C5FF6">
        <w:rPr>
          <w:rFonts w:cs="Arial"/>
          <w:sz w:val="24"/>
          <w:szCs w:val="24"/>
        </w:rPr>
        <w:t xml:space="preserve">  To remove </w:t>
      </w:r>
      <w:r w:rsidR="00F64E5A" w:rsidRPr="008C5FF6">
        <w:rPr>
          <w:rFonts w:cs="Arial"/>
          <w:sz w:val="24"/>
          <w:szCs w:val="24"/>
        </w:rPr>
        <w:t>barriers,</w:t>
      </w:r>
      <w:r w:rsidRPr="008C5FF6">
        <w:rPr>
          <w:rFonts w:cs="Arial"/>
          <w:sz w:val="24"/>
          <w:szCs w:val="24"/>
        </w:rPr>
        <w:t xml:space="preserve"> </w:t>
      </w:r>
      <w:r w:rsidR="002B560F" w:rsidRPr="008C5FF6">
        <w:rPr>
          <w:rFonts w:cs="Arial"/>
          <w:sz w:val="24"/>
          <w:szCs w:val="24"/>
        </w:rPr>
        <w:t>provide</w:t>
      </w:r>
      <w:r w:rsidR="00F64E5A" w:rsidRPr="008C5FF6">
        <w:rPr>
          <w:rFonts w:cs="Arial"/>
          <w:sz w:val="24"/>
          <w:szCs w:val="24"/>
        </w:rPr>
        <w:t xml:space="preserve"> opportunities, and </w:t>
      </w:r>
      <w:r w:rsidR="002B560F" w:rsidRPr="008C5FF6">
        <w:rPr>
          <w:rFonts w:cs="Arial"/>
          <w:sz w:val="24"/>
          <w:szCs w:val="24"/>
        </w:rPr>
        <w:t xml:space="preserve">create </w:t>
      </w:r>
      <w:r w:rsidR="00F64E5A" w:rsidRPr="008C5FF6">
        <w:rPr>
          <w:rFonts w:cs="Arial"/>
          <w:sz w:val="24"/>
          <w:szCs w:val="24"/>
        </w:rPr>
        <w:t>incentiv</w:t>
      </w:r>
      <w:r w:rsidR="002B560F" w:rsidRPr="008C5FF6">
        <w:rPr>
          <w:rFonts w:cs="Arial"/>
          <w:sz w:val="24"/>
          <w:szCs w:val="24"/>
        </w:rPr>
        <w:t>es</w:t>
      </w:r>
      <w:r w:rsidR="00664AB8" w:rsidRPr="008C5FF6">
        <w:rPr>
          <w:rFonts w:cs="Arial"/>
          <w:sz w:val="24"/>
          <w:szCs w:val="24"/>
        </w:rPr>
        <w:t xml:space="preserve"> </w:t>
      </w:r>
      <w:r w:rsidR="002B560F" w:rsidRPr="008C5FF6">
        <w:rPr>
          <w:rFonts w:cs="Arial"/>
          <w:sz w:val="24"/>
          <w:szCs w:val="24"/>
        </w:rPr>
        <w:t xml:space="preserve">to transform the delivery of state and local government services through technology.   To develop best practices and models </w:t>
      </w:r>
      <w:r w:rsidR="00F64E5A" w:rsidRPr="008C5FF6">
        <w:rPr>
          <w:rFonts w:cs="Arial"/>
          <w:sz w:val="24"/>
          <w:szCs w:val="24"/>
        </w:rPr>
        <w:t>to enhance productivity</w:t>
      </w:r>
      <w:r w:rsidR="00072C37" w:rsidRPr="008C5FF6">
        <w:rPr>
          <w:rFonts w:cs="Arial"/>
          <w:sz w:val="24"/>
          <w:szCs w:val="24"/>
        </w:rPr>
        <w:t xml:space="preserve">, </w:t>
      </w:r>
      <w:r w:rsidR="00DA6370" w:rsidRPr="008C5FF6">
        <w:rPr>
          <w:rFonts w:cs="Arial"/>
          <w:sz w:val="24"/>
          <w:szCs w:val="24"/>
        </w:rPr>
        <w:t xml:space="preserve">maintain </w:t>
      </w:r>
      <w:r w:rsidR="00072C37" w:rsidRPr="008C5FF6">
        <w:rPr>
          <w:rFonts w:cs="Arial"/>
          <w:sz w:val="24"/>
          <w:szCs w:val="24"/>
        </w:rPr>
        <w:t>information security</w:t>
      </w:r>
      <w:r w:rsidR="00F64E5A" w:rsidRPr="008C5FF6">
        <w:rPr>
          <w:rFonts w:cs="Arial"/>
          <w:sz w:val="24"/>
          <w:szCs w:val="24"/>
        </w:rPr>
        <w:t xml:space="preserve"> and reduce cost</w:t>
      </w:r>
      <w:r w:rsidR="00540F67" w:rsidRPr="008C5FF6">
        <w:rPr>
          <w:rFonts w:cs="Arial"/>
          <w:sz w:val="24"/>
          <w:szCs w:val="24"/>
        </w:rPr>
        <w:t xml:space="preserve"> for local </w:t>
      </w:r>
      <w:r w:rsidR="00DC30AD" w:rsidRPr="008C5FF6">
        <w:rPr>
          <w:rFonts w:cs="Arial"/>
          <w:sz w:val="24"/>
          <w:szCs w:val="24"/>
        </w:rPr>
        <w:t xml:space="preserve">and regional </w:t>
      </w:r>
      <w:r w:rsidR="00540F67" w:rsidRPr="008C5FF6">
        <w:rPr>
          <w:rFonts w:cs="Arial"/>
          <w:sz w:val="24"/>
          <w:szCs w:val="24"/>
        </w:rPr>
        <w:t>government service delivery</w:t>
      </w:r>
      <w:r w:rsidR="00F64E5A" w:rsidRPr="008C5FF6">
        <w:rPr>
          <w:rFonts w:cs="Arial"/>
          <w:sz w:val="24"/>
          <w:szCs w:val="24"/>
        </w:rPr>
        <w:t xml:space="preserve">. </w:t>
      </w:r>
      <w:r w:rsidR="00EF699E">
        <w:rPr>
          <w:rFonts w:cs="Arial"/>
          <w:sz w:val="24"/>
          <w:szCs w:val="24"/>
        </w:rPr>
        <w:t xml:space="preserve"> </w:t>
      </w:r>
      <w:r w:rsidR="00EF699E" w:rsidRPr="00B8469F">
        <w:rPr>
          <w:rFonts w:cs="Arial"/>
          <w:sz w:val="24"/>
          <w:szCs w:val="24"/>
        </w:rPr>
        <w:t>The implementation of these best practices and models will e</w:t>
      </w:r>
      <w:r w:rsidR="00504C27" w:rsidRPr="00B8469F">
        <w:rPr>
          <w:rFonts w:cs="Arial"/>
          <w:sz w:val="24"/>
          <w:szCs w:val="24"/>
        </w:rPr>
        <w:t xml:space="preserve">nhance the wellbeing of our citizens and strengthen the economy of the State of Connecticut by integrating and upgrading the technology supporting local governments and </w:t>
      </w:r>
      <w:r w:rsidR="00EF699E" w:rsidRPr="00B8469F">
        <w:rPr>
          <w:rFonts w:cs="Arial"/>
          <w:sz w:val="24"/>
          <w:szCs w:val="24"/>
        </w:rPr>
        <w:t xml:space="preserve">local </w:t>
      </w:r>
      <w:r w:rsidR="00504C27" w:rsidRPr="00B8469F">
        <w:rPr>
          <w:rFonts w:cs="Arial"/>
          <w:sz w:val="24"/>
          <w:szCs w:val="24"/>
        </w:rPr>
        <w:t>educational services.</w:t>
      </w:r>
    </w:p>
    <w:p w:rsidR="00EF699E" w:rsidRPr="00B8469F" w:rsidRDefault="00EF699E" w:rsidP="00DE44CC">
      <w:pPr>
        <w:spacing w:after="0" w:line="240" w:lineRule="auto"/>
        <w:contextualSpacing/>
        <w:rPr>
          <w:rFonts w:cs="Arial"/>
          <w:sz w:val="24"/>
          <w:szCs w:val="24"/>
        </w:rPr>
      </w:pPr>
    </w:p>
    <w:p w:rsidR="00EF699E" w:rsidRPr="008C5FF6" w:rsidRDefault="00EF699E" w:rsidP="00DE44CC">
      <w:pPr>
        <w:spacing w:after="0" w:line="240" w:lineRule="auto"/>
        <w:contextualSpacing/>
        <w:rPr>
          <w:rFonts w:cs="Arial"/>
          <w:sz w:val="24"/>
          <w:szCs w:val="24"/>
        </w:rPr>
      </w:pPr>
      <w:r w:rsidRPr="00B8469F">
        <w:rPr>
          <w:rFonts w:cs="Arial"/>
          <w:sz w:val="24"/>
          <w:szCs w:val="24"/>
        </w:rPr>
        <w:t xml:space="preserve">The solutions outlined below should be viewed as an </w:t>
      </w:r>
      <w:r w:rsidRPr="00B8469F">
        <w:rPr>
          <w:rFonts w:cs="Arial"/>
          <w:b/>
          <w:sz w:val="24"/>
          <w:szCs w:val="24"/>
        </w:rPr>
        <w:t>investment</w:t>
      </w:r>
      <w:r w:rsidRPr="00B8469F">
        <w:rPr>
          <w:rFonts w:cs="Arial"/>
          <w:sz w:val="24"/>
          <w:szCs w:val="24"/>
        </w:rPr>
        <w:t xml:space="preserve"> in local government operations that will increase productivity in the long-term.  </w:t>
      </w:r>
      <w:r w:rsidR="00703A19" w:rsidRPr="00B8469F">
        <w:rPr>
          <w:rFonts w:cs="Arial"/>
          <w:sz w:val="24"/>
          <w:szCs w:val="24"/>
        </w:rPr>
        <w:t>Since savings calculations are wholly dependent on individual town operational structures,</w:t>
      </w:r>
      <w:r w:rsidRPr="00B8469F">
        <w:rPr>
          <w:rFonts w:cs="Arial"/>
          <w:sz w:val="24"/>
          <w:szCs w:val="24"/>
        </w:rPr>
        <w:t xml:space="preserve"> this committee recommends engaging the New England Policy Center to establish a town-by-town operational baseline with activity based costing that would then compare to the outcomes of the implemented solutions.</w:t>
      </w:r>
    </w:p>
    <w:p w:rsidR="00944A67" w:rsidRPr="008C5FF6" w:rsidRDefault="00944A67" w:rsidP="00DE44CC">
      <w:pPr>
        <w:spacing w:after="0" w:line="240" w:lineRule="auto"/>
        <w:contextualSpacing/>
        <w:rPr>
          <w:rFonts w:cs="Arial"/>
          <w:sz w:val="24"/>
          <w:szCs w:val="24"/>
        </w:rPr>
      </w:pPr>
    </w:p>
    <w:p w:rsidR="00635428" w:rsidRPr="00635428" w:rsidRDefault="005B74D4" w:rsidP="00A83F3E">
      <w:pPr>
        <w:pStyle w:val="ListParagraph"/>
        <w:numPr>
          <w:ilvl w:val="0"/>
          <w:numId w:val="35"/>
        </w:numPr>
        <w:spacing w:after="0" w:line="240" w:lineRule="auto"/>
        <w:rPr>
          <w:rFonts w:cs="Arial"/>
          <w:sz w:val="24"/>
          <w:szCs w:val="24"/>
        </w:rPr>
      </w:pPr>
      <w:r w:rsidRPr="00B251E6">
        <w:rPr>
          <w:rFonts w:cs="Arial"/>
          <w:b/>
          <w:sz w:val="24"/>
          <w:szCs w:val="24"/>
        </w:rPr>
        <w:t xml:space="preserve">Support the creation of a Statewide Technology Plan </w:t>
      </w:r>
    </w:p>
    <w:p w:rsidR="00635428" w:rsidRDefault="00635428" w:rsidP="00635428">
      <w:pPr>
        <w:pStyle w:val="ListParagraph"/>
        <w:spacing w:after="0" w:line="240" w:lineRule="auto"/>
        <w:ind w:left="810"/>
        <w:rPr>
          <w:rFonts w:cs="Arial"/>
          <w:sz w:val="24"/>
          <w:szCs w:val="24"/>
        </w:rPr>
      </w:pPr>
    </w:p>
    <w:p w:rsidR="00635428" w:rsidRDefault="00635428" w:rsidP="00635428">
      <w:pPr>
        <w:spacing w:after="0" w:line="240" w:lineRule="auto"/>
        <w:ind w:left="720"/>
        <w:rPr>
          <w:rFonts w:cs="Arial"/>
          <w:b/>
          <w:sz w:val="24"/>
          <w:szCs w:val="24"/>
        </w:rPr>
      </w:pPr>
      <w:r w:rsidRPr="00CE3F1E">
        <w:rPr>
          <w:rFonts w:cs="Arial"/>
          <w:b/>
          <w:sz w:val="24"/>
          <w:szCs w:val="24"/>
        </w:rPr>
        <w:t>Action: Identify and convene key stakeholders to provide input to a Statewide Technology Plan that informs the Plan of Conservation and Development at the local, regional and statewide level</w:t>
      </w:r>
      <w:r>
        <w:rPr>
          <w:rFonts w:cs="Arial"/>
          <w:b/>
          <w:sz w:val="24"/>
          <w:szCs w:val="24"/>
        </w:rPr>
        <w:t xml:space="preserve"> and include state and local technology linkages</w:t>
      </w:r>
      <w:r w:rsidRPr="00CE3F1E">
        <w:rPr>
          <w:rFonts w:cs="Arial"/>
          <w:b/>
          <w:sz w:val="24"/>
          <w:szCs w:val="24"/>
        </w:rPr>
        <w:t>.</w:t>
      </w:r>
    </w:p>
    <w:p w:rsidR="00635428" w:rsidRDefault="00635428" w:rsidP="00635428">
      <w:pPr>
        <w:spacing w:after="0" w:line="240" w:lineRule="auto"/>
        <w:ind w:left="720"/>
        <w:rPr>
          <w:rFonts w:cs="Arial"/>
          <w:b/>
          <w:bCs/>
          <w:sz w:val="24"/>
          <w:szCs w:val="24"/>
        </w:rPr>
      </w:pPr>
      <w:r>
        <w:rPr>
          <w:rFonts w:cs="Arial"/>
          <w:b/>
          <w:sz w:val="24"/>
          <w:szCs w:val="24"/>
        </w:rPr>
        <w:t xml:space="preserve">Action:  Amend </w:t>
      </w:r>
      <w:r w:rsidRPr="00D7620E">
        <w:rPr>
          <w:rFonts w:cs="Arial"/>
          <w:b/>
          <w:sz w:val="24"/>
          <w:szCs w:val="24"/>
        </w:rPr>
        <w:t xml:space="preserve">Subsection 16a-27 of the general </w:t>
      </w:r>
      <w:r>
        <w:rPr>
          <w:rFonts w:cs="Arial"/>
          <w:b/>
          <w:sz w:val="24"/>
          <w:szCs w:val="24"/>
        </w:rPr>
        <w:t>statutes</w:t>
      </w:r>
      <w:r w:rsidRPr="00D7620E">
        <w:rPr>
          <w:rFonts w:cs="Arial"/>
          <w:b/>
          <w:sz w:val="24"/>
          <w:szCs w:val="24"/>
        </w:rPr>
        <w:t xml:space="preserve"> by adding new subsection (i) as follows</w:t>
      </w:r>
      <w:r>
        <w:rPr>
          <w:rFonts w:cs="Arial"/>
          <w:b/>
          <w:sz w:val="24"/>
          <w:szCs w:val="24"/>
        </w:rPr>
        <w:t xml:space="preserve">: </w:t>
      </w:r>
      <w:r w:rsidRPr="00D7620E">
        <w:rPr>
          <w:rFonts w:cs="Arial"/>
          <w:b/>
          <w:i/>
          <w:iCs/>
          <w:sz w:val="24"/>
          <w:szCs w:val="24"/>
        </w:rPr>
        <w:t>(Effective October 1, 2016)</w:t>
      </w:r>
      <w:r w:rsidRPr="00D7620E">
        <w:rPr>
          <w:rFonts w:cs="Arial"/>
          <w:b/>
          <w:sz w:val="24"/>
          <w:szCs w:val="24"/>
        </w:rPr>
        <w:t>:</w:t>
      </w:r>
      <w:r w:rsidRPr="00D7620E">
        <w:rPr>
          <w:rFonts w:cs="Arial"/>
          <w:b/>
          <w:bCs/>
          <w:sz w:val="24"/>
          <w:szCs w:val="24"/>
        </w:rPr>
        <w:t>(i) Any revision made after October 1, 2016, shall take into consideration the application and use</w:t>
      </w:r>
      <w:r>
        <w:rPr>
          <w:rFonts w:cs="Arial"/>
          <w:b/>
          <w:bCs/>
          <w:sz w:val="24"/>
          <w:szCs w:val="24"/>
        </w:rPr>
        <w:t xml:space="preserve"> </w:t>
      </w:r>
      <w:r w:rsidRPr="00D7620E">
        <w:rPr>
          <w:rFonts w:cs="Arial"/>
          <w:b/>
          <w:bCs/>
          <w:sz w:val="24"/>
          <w:szCs w:val="24"/>
        </w:rPr>
        <w:t>of technology to enhance efficiencies, foster collaboration, increase transparency and access to</w:t>
      </w:r>
      <w:r>
        <w:rPr>
          <w:rFonts w:cs="Arial"/>
          <w:b/>
          <w:bCs/>
          <w:sz w:val="24"/>
          <w:szCs w:val="24"/>
        </w:rPr>
        <w:t xml:space="preserve"> </w:t>
      </w:r>
      <w:r w:rsidRPr="00D7620E">
        <w:rPr>
          <w:rFonts w:cs="Arial"/>
          <w:b/>
          <w:bCs/>
          <w:sz w:val="24"/>
          <w:szCs w:val="24"/>
        </w:rPr>
        <w:t>information and reduce costs.</w:t>
      </w:r>
    </w:p>
    <w:p w:rsidR="00635428" w:rsidRDefault="00635428" w:rsidP="00635428">
      <w:pPr>
        <w:spacing w:after="0" w:line="240" w:lineRule="auto"/>
        <w:ind w:left="720"/>
        <w:rPr>
          <w:rFonts w:cs="Arial"/>
          <w:b/>
          <w:sz w:val="24"/>
          <w:szCs w:val="24"/>
        </w:rPr>
      </w:pPr>
      <w:r>
        <w:rPr>
          <w:rFonts w:cs="Arial"/>
          <w:b/>
          <w:bCs/>
          <w:sz w:val="24"/>
          <w:szCs w:val="24"/>
        </w:rPr>
        <w:t>Action: Acknowledge the Connecticut Commission for Education Technology and request they consider the goals and activities of the proposed technology state plan.</w:t>
      </w:r>
    </w:p>
    <w:p w:rsidR="00635428" w:rsidRDefault="00635428" w:rsidP="00635428">
      <w:pPr>
        <w:pStyle w:val="ListParagraph"/>
        <w:spacing w:after="0" w:line="240" w:lineRule="auto"/>
        <w:ind w:left="810"/>
        <w:rPr>
          <w:rFonts w:cs="Arial"/>
          <w:sz w:val="24"/>
          <w:szCs w:val="24"/>
        </w:rPr>
      </w:pPr>
    </w:p>
    <w:p w:rsidR="005B74D4" w:rsidRPr="00CE3F1E" w:rsidRDefault="00635428" w:rsidP="00635428">
      <w:pPr>
        <w:pStyle w:val="ListParagraph"/>
        <w:spacing w:after="0" w:line="240" w:lineRule="auto"/>
        <w:rPr>
          <w:rFonts w:cs="Arial"/>
          <w:sz w:val="24"/>
          <w:szCs w:val="24"/>
        </w:rPr>
      </w:pPr>
      <w:r>
        <w:rPr>
          <w:rFonts w:cs="Arial"/>
          <w:sz w:val="24"/>
          <w:szCs w:val="24"/>
        </w:rPr>
        <w:t>A State Wide Technology Plan should</w:t>
      </w:r>
      <w:r w:rsidR="005B74D4" w:rsidRPr="00B251E6">
        <w:rPr>
          <w:rFonts w:cs="Arial"/>
          <w:sz w:val="24"/>
          <w:szCs w:val="24"/>
        </w:rPr>
        <w:t xml:space="preserve"> include towns and schools and encourages town/school collaboration and regional collaboration through</w:t>
      </w:r>
      <w:r w:rsidR="00A83F3E">
        <w:rPr>
          <w:rFonts w:cs="Arial"/>
          <w:sz w:val="24"/>
          <w:szCs w:val="24"/>
        </w:rPr>
        <w:t xml:space="preserve"> Council of Government</w:t>
      </w:r>
      <w:r w:rsidR="005B74D4" w:rsidRPr="00B251E6">
        <w:rPr>
          <w:rFonts w:cs="Arial"/>
          <w:sz w:val="24"/>
          <w:szCs w:val="24"/>
        </w:rPr>
        <w:t xml:space="preserve"> </w:t>
      </w:r>
      <w:r w:rsidR="00A83F3E">
        <w:rPr>
          <w:rFonts w:cs="Arial"/>
          <w:sz w:val="24"/>
          <w:szCs w:val="24"/>
        </w:rPr>
        <w:t>(</w:t>
      </w:r>
      <w:r w:rsidR="005B74D4" w:rsidRPr="00B251E6">
        <w:rPr>
          <w:rFonts w:cs="Arial"/>
          <w:sz w:val="24"/>
          <w:szCs w:val="24"/>
        </w:rPr>
        <w:t>COG</w:t>
      </w:r>
      <w:r w:rsidR="00A83F3E">
        <w:rPr>
          <w:rFonts w:cs="Arial"/>
          <w:sz w:val="24"/>
          <w:szCs w:val="24"/>
        </w:rPr>
        <w:t>)</w:t>
      </w:r>
      <w:r w:rsidR="005B74D4" w:rsidRPr="00B251E6">
        <w:rPr>
          <w:rFonts w:cs="Arial"/>
          <w:sz w:val="24"/>
          <w:szCs w:val="24"/>
        </w:rPr>
        <w:t xml:space="preserve"> and </w:t>
      </w:r>
      <w:r w:rsidR="00A83F3E" w:rsidRPr="00A83F3E">
        <w:rPr>
          <w:rFonts w:cs="Arial"/>
          <w:sz w:val="24"/>
          <w:szCs w:val="24"/>
        </w:rPr>
        <w:t>Regional Educational Service Centers</w:t>
      </w:r>
      <w:r w:rsidR="00A83F3E">
        <w:rPr>
          <w:rFonts w:cs="Arial"/>
          <w:sz w:val="24"/>
          <w:szCs w:val="24"/>
        </w:rPr>
        <w:t xml:space="preserve"> (</w:t>
      </w:r>
      <w:r w:rsidR="005B74D4" w:rsidRPr="00B251E6">
        <w:rPr>
          <w:rFonts w:cs="Arial"/>
          <w:sz w:val="24"/>
          <w:szCs w:val="24"/>
        </w:rPr>
        <w:t>RESCS.</w:t>
      </w:r>
      <w:r w:rsidR="00A83F3E">
        <w:rPr>
          <w:rFonts w:cs="Arial"/>
          <w:sz w:val="24"/>
          <w:szCs w:val="24"/>
        </w:rPr>
        <w:t>)</w:t>
      </w:r>
      <w:r w:rsidR="00DA26CD">
        <w:rPr>
          <w:rFonts w:cs="Arial"/>
          <w:sz w:val="24"/>
          <w:szCs w:val="24"/>
        </w:rPr>
        <w:t xml:space="preserve">  </w:t>
      </w:r>
      <w:r w:rsidR="005B74D4" w:rsidRPr="00CE3F1E">
        <w:rPr>
          <w:rFonts w:cs="Arial"/>
          <w:sz w:val="24"/>
          <w:szCs w:val="24"/>
        </w:rPr>
        <w:t xml:space="preserve">These plans must be tied to the local, regional and statewide Plans of Conservation and Development (POCDs).  </w:t>
      </w:r>
    </w:p>
    <w:p w:rsidR="005B74D4" w:rsidRPr="00CE3F1E" w:rsidRDefault="005B74D4" w:rsidP="005B74D4">
      <w:pPr>
        <w:pStyle w:val="ListParagraph"/>
        <w:spacing w:after="0" w:line="240" w:lineRule="auto"/>
        <w:rPr>
          <w:rFonts w:cs="Arial"/>
          <w:sz w:val="24"/>
          <w:szCs w:val="24"/>
        </w:rPr>
      </w:pPr>
    </w:p>
    <w:p w:rsidR="005B74D4" w:rsidRPr="00CE3F1E" w:rsidRDefault="005B74D4" w:rsidP="005B74D4">
      <w:pPr>
        <w:pStyle w:val="ListParagraph"/>
        <w:spacing w:after="0" w:line="240" w:lineRule="auto"/>
        <w:rPr>
          <w:rFonts w:cs="Arial"/>
          <w:sz w:val="24"/>
          <w:szCs w:val="24"/>
        </w:rPr>
      </w:pPr>
      <w:r w:rsidRPr="00CE3F1E">
        <w:rPr>
          <w:rFonts w:cs="Arial"/>
          <w:sz w:val="24"/>
          <w:szCs w:val="24"/>
        </w:rPr>
        <w:t xml:space="preserve">The MORE Subcommittee on Technology recommends the State create a statewide technology plan to streamline government services and to coordinate and meet the current and long term needs of our residents, businesses, and education. We recognize that technology is a core aspect of our residents' daily lives and can be a major economic driver. We recommend assessing current data, infrastructure and best practices to ensure compatible systems/programs, redundancy, efficiency, capacity, access, security and infrastructure.  We </w:t>
      </w:r>
      <w:r w:rsidRPr="00CE3F1E">
        <w:rPr>
          <w:rFonts w:cs="Arial"/>
          <w:sz w:val="24"/>
          <w:szCs w:val="24"/>
        </w:rPr>
        <w:lastRenderedPageBreak/>
        <w:t xml:space="preserve">also recommend the creation of an actionable plan that is funded and updated every three years to adapt to changing technology.  </w:t>
      </w:r>
    </w:p>
    <w:p w:rsidR="005B74D4" w:rsidRPr="00CE3F1E" w:rsidRDefault="005B74D4" w:rsidP="005B74D4">
      <w:pPr>
        <w:spacing w:after="0" w:line="240" w:lineRule="auto"/>
        <w:rPr>
          <w:rFonts w:cs="Arial"/>
          <w:b/>
          <w:sz w:val="24"/>
          <w:szCs w:val="24"/>
        </w:rPr>
      </w:pPr>
    </w:p>
    <w:p w:rsidR="005B74D4" w:rsidRDefault="005B74D4" w:rsidP="005B74D4">
      <w:pPr>
        <w:spacing w:after="0" w:line="240" w:lineRule="auto"/>
        <w:ind w:left="720"/>
        <w:contextualSpacing/>
        <w:rPr>
          <w:rFonts w:cs="Arial"/>
          <w:b/>
          <w:sz w:val="24"/>
          <w:szCs w:val="24"/>
        </w:rPr>
      </w:pPr>
    </w:p>
    <w:p w:rsidR="00B56E10" w:rsidRDefault="008A438A" w:rsidP="00B56E10">
      <w:pPr>
        <w:numPr>
          <w:ilvl w:val="0"/>
          <w:numId w:val="35"/>
        </w:numPr>
        <w:spacing w:after="0" w:line="240" w:lineRule="auto"/>
        <w:contextualSpacing/>
        <w:rPr>
          <w:rFonts w:cs="Arial"/>
          <w:b/>
          <w:sz w:val="24"/>
          <w:szCs w:val="24"/>
        </w:rPr>
      </w:pPr>
      <w:r w:rsidRPr="008C5FF6">
        <w:rPr>
          <w:rFonts w:cs="Arial"/>
          <w:b/>
          <w:sz w:val="24"/>
          <w:szCs w:val="24"/>
        </w:rPr>
        <w:t>EXPAND</w:t>
      </w:r>
      <w:r w:rsidR="00284CC7" w:rsidRPr="008C5FF6">
        <w:rPr>
          <w:rFonts w:cs="Arial"/>
          <w:b/>
          <w:sz w:val="24"/>
          <w:szCs w:val="24"/>
        </w:rPr>
        <w:t xml:space="preserve"> Nutmeg Network and Support its Funding and Use</w:t>
      </w:r>
    </w:p>
    <w:p w:rsidR="00635428" w:rsidRDefault="00635428" w:rsidP="00635428">
      <w:pPr>
        <w:spacing w:after="0" w:line="240" w:lineRule="auto"/>
        <w:contextualSpacing/>
        <w:rPr>
          <w:rFonts w:cs="Arial"/>
          <w:b/>
          <w:sz w:val="24"/>
          <w:szCs w:val="24"/>
        </w:rPr>
      </w:pPr>
    </w:p>
    <w:p w:rsidR="00635428" w:rsidRDefault="00635428" w:rsidP="00635428">
      <w:pPr>
        <w:spacing w:after="0" w:line="240" w:lineRule="auto"/>
        <w:ind w:left="720"/>
        <w:contextualSpacing/>
        <w:rPr>
          <w:rFonts w:cs="Arial"/>
          <w:b/>
          <w:sz w:val="24"/>
          <w:szCs w:val="24"/>
        </w:rPr>
      </w:pPr>
      <w:r w:rsidRPr="00A616D9">
        <w:rPr>
          <w:rFonts w:cs="Arial"/>
          <w:b/>
          <w:sz w:val="24"/>
          <w:szCs w:val="24"/>
        </w:rPr>
        <w:t xml:space="preserve">Action: Support towns in connecting to the Nutmeg Network and using it for their core operations as well as maintaining state funding for the network. </w:t>
      </w:r>
      <w:r>
        <w:rPr>
          <w:rFonts w:cs="Arial"/>
          <w:b/>
          <w:sz w:val="24"/>
          <w:szCs w:val="24"/>
        </w:rPr>
        <w:t>The estimate for connecting the remaining towns to the Nutmeg Network is slightly more than $2 million</w:t>
      </w:r>
      <w:r w:rsidRPr="00C16371">
        <w:rPr>
          <w:rFonts w:cs="Arial"/>
          <w:b/>
          <w:sz w:val="24"/>
          <w:szCs w:val="24"/>
        </w:rPr>
        <w:t>.</w:t>
      </w:r>
      <w:r>
        <w:rPr>
          <w:rFonts w:cs="Arial"/>
          <w:b/>
          <w:sz w:val="24"/>
          <w:szCs w:val="24"/>
        </w:rPr>
        <w:t xml:space="preserve">  This f</w:t>
      </w:r>
      <w:r w:rsidR="00DA26CD">
        <w:rPr>
          <w:rFonts w:cs="Arial"/>
          <w:b/>
          <w:sz w:val="24"/>
          <w:szCs w:val="24"/>
        </w:rPr>
        <w:t>unding is distinct from connect</w:t>
      </w:r>
      <w:r>
        <w:rPr>
          <w:rFonts w:cs="Arial"/>
          <w:b/>
          <w:sz w:val="24"/>
          <w:szCs w:val="24"/>
        </w:rPr>
        <w:t>ing all town facilities to the network.</w:t>
      </w:r>
    </w:p>
    <w:p w:rsidR="00635428" w:rsidRDefault="00635428" w:rsidP="00635428">
      <w:pPr>
        <w:spacing w:after="0" w:line="240" w:lineRule="auto"/>
        <w:ind w:left="720"/>
        <w:contextualSpacing/>
        <w:rPr>
          <w:rFonts w:cs="Arial"/>
          <w:b/>
          <w:sz w:val="24"/>
          <w:szCs w:val="24"/>
        </w:rPr>
      </w:pPr>
      <w:r>
        <w:rPr>
          <w:rFonts w:cs="Arial"/>
          <w:b/>
          <w:sz w:val="24"/>
          <w:szCs w:val="24"/>
        </w:rPr>
        <w:t>Action: The state should consider additional costs for converting town facilities to the network and leveraging federal grant money to assist.</w:t>
      </w:r>
    </w:p>
    <w:p w:rsidR="00635428" w:rsidRPr="007318D7" w:rsidRDefault="00635428" w:rsidP="00635428">
      <w:pPr>
        <w:spacing w:after="0" w:line="240" w:lineRule="auto"/>
        <w:contextualSpacing/>
        <w:rPr>
          <w:rFonts w:cs="Arial"/>
          <w:b/>
          <w:sz w:val="24"/>
          <w:szCs w:val="24"/>
        </w:rPr>
      </w:pPr>
    </w:p>
    <w:p w:rsidR="008A438A" w:rsidRDefault="00572173" w:rsidP="007318D7">
      <w:pPr>
        <w:spacing w:after="0" w:line="240" w:lineRule="auto"/>
        <w:ind w:left="720"/>
        <w:contextualSpacing/>
        <w:rPr>
          <w:rFonts w:cs="Arial"/>
          <w:sz w:val="24"/>
          <w:szCs w:val="24"/>
        </w:rPr>
      </w:pPr>
      <w:r w:rsidRPr="008C5FF6">
        <w:rPr>
          <w:rFonts w:cs="Arial"/>
          <w:sz w:val="24"/>
          <w:szCs w:val="24"/>
        </w:rPr>
        <w:t xml:space="preserve">A total of </w:t>
      </w:r>
      <w:r w:rsidR="00490F39" w:rsidRPr="008C5FF6">
        <w:rPr>
          <w:rFonts w:cs="Arial"/>
          <w:sz w:val="24"/>
          <w:szCs w:val="24"/>
        </w:rPr>
        <w:t xml:space="preserve">105 </w:t>
      </w:r>
      <w:r w:rsidR="00284CC7" w:rsidRPr="008C5FF6">
        <w:rPr>
          <w:rFonts w:cs="Arial"/>
          <w:sz w:val="24"/>
          <w:szCs w:val="24"/>
        </w:rPr>
        <w:t xml:space="preserve">towns </w:t>
      </w:r>
      <w:r w:rsidR="008C5FF6" w:rsidRPr="008C5FF6">
        <w:rPr>
          <w:rFonts w:cs="Arial"/>
          <w:sz w:val="24"/>
          <w:szCs w:val="24"/>
        </w:rPr>
        <w:t xml:space="preserve">(60% of municipal governments) </w:t>
      </w:r>
      <w:r w:rsidR="00284CC7" w:rsidRPr="008C5FF6">
        <w:rPr>
          <w:rFonts w:cs="Arial"/>
          <w:sz w:val="24"/>
          <w:szCs w:val="24"/>
        </w:rPr>
        <w:t>are part of a statewide plan to connect municipalities to the state’s high-speed broadband fiber Nutmeg Network</w:t>
      </w:r>
      <w:r w:rsidR="00490F39" w:rsidRPr="008C5FF6">
        <w:rPr>
          <w:rFonts w:cs="Arial"/>
          <w:sz w:val="24"/>
          <w:szCs w:val="24"/>
        </w:rPr>
        <w:t xml:space="preserve"> with the support of the MORE Commission in the 2013 legislative session.</w:t>
      </w:r>
      <w:r w:rsidR="00284CC7" w:rsidRPr="008C5FF6">
        <w:rPr>
          <w:rFonts w:cs="Arial"/>
          <w:sz w:val="24"/>
          <w:szCs w:val="24"/>
        </w:rPr>
        <w:t xml:space="preserve">  </w:t>
      </w:r>
      <w:r w:rsidR="00BE0EAE">
        <w:rPr>
          <w:rFonts w:cs="Arial"/>
          <w:sz w:val="24"/>
          <w:szCs w:val="24"/>
        </w:rPr>
        <w:t xml:space="preserve">Only 6 municipalities were connected prior to the legislation. </w:t>
      </w:r>
      <w:r w:rsidR="00284CC7" w:rsidRPr="008C5FF6">
        <w:rPr>
          <w:rFonts w:cs="Arial"/>
          <w:sz w:val="24"/>
          <w:szCs w:val="24"/>
        </w:rPr>
        <w:t xml:space="preserve">This access is the </w:t>
      </w:r>
      <w:r w:rsidR="00490F39" w:rsidRPr="008C5FF6">
        <w:rPr>
          <w:rFonts w:cs="Arial"/>
          <w:sz w:val="24"/>
          <w:szCs w:val="24"/>
        </w:rPr>
        <w:t xml:space="preserve">foundation </w:t>
      </w:r>
      <w:r w:rsidR="00284CC7" w:rsidRPr="008C5FF6">
        <w:rPr>
          <w:rFonts w:cs="Arial"/>
          <w:sz w:val="24"/>
          <w:szCs w:val="24"/>
        </w:rPr>
        <w:t>for efforts moving forward to use technology to deliver local government services efficiently and with higher quality and responsiveness to citizens</w:t>
      </w:r>
      <w:r w:rsidR="00054C6F">
        <w:rPr>
          <w:rFonts w:cs="Arial"/>
          <w:sz w:val="24"/>
          <w:szCs w:val="24"/>
        </w:rPr>
        <w:t xml:space="preserve"> </w:t>
      </w:r>
      <w:r w:rsidR="00054C6F" w:rsidRPr="00B8469F">
        <w:rPr>
          <w:rFonts w:cs="Arial"/>
          <w:sz w:val="24"/>
          <w:szCs w:val="24"/>
        </w:rPr>
        <w:t>and State agencies</w:t>
      </w:r>
      <w:r w:rsidR="00284CC7" w:rsidRPr="00B8469F">
        <w:rPr>
          <w:rFonts w:cs="Arial"/>
          <w:sz w:val="24"/>
          <w:szCs w:val="24"/>
        </w:rPr>
        <w:t>.</w:t>
      </w:r>
    </w:p>
    <w:p w:rsidR="007318D7" w:rsidRPr="008C5FF6" w:rsidRDefault="007318D7" w:rsidP="007318D7">
      <w:pPr>
        <w:spacing w:after="0" w:line="240" w:lineRule="auto"/>
        <w:ind w:left="720"/>
        <w:contextualSpacing/>
        <w:rPr>
          <w:rFonts w:cs="Arial"/>
          <w:sz w:val="24"/>
          <w:szCs w:val="24"/>
        </w:rPr>
      </w:pPr>
    </w:p>
    <w:p w:rsidR="00D43AF7" w:rsidRDefault="00284CC7" w:rsidP="007318D7">
      <w:pPr>
        <w:spacing w:after="0" w:line="240" w:lineRule="auto"/>
        <w:ind w:left="720"/>
        <w:contextualSpacing/>
        <w:rPr>
          <w:rFonts w:cs="Arial"/>
          <w:sz w:val="24"/>
          <w:szCs w:val="24"/>
        </w:rPr>
      </w:pPr>
      <w:r w:rsidRPr="008C5FF6">
        <w:rPr>
          <w:rFonts w:cs="Arial"/>
          <w:sz w:val="24"/>
          <w:szCs w:val="24"/>
        </w:rPr>
        <w:t>It is impera</w:t>
      </w:r>
      <w:r w:rsidR="008A438A" w:rsidRPr="008C5FF6">
        <w:rPr>
          <w:rFonts w:cs="Arial"/>
          <w:sz w:val="24"/>
          <w:szCs w:val="24"/>
        </w:rPr>
        <w:t>tive that the state continues level</w:t>
      </w:r>
      <w:r w:rsidRPr="008C5FF6">
        <w:rPr>
          <w:rFonts w:cs="Arial"/>
          <w:sz w:val="24"/>
          <w:szCs w:val="24"/>
        </w:rPr>
        <w:t xml:space="preserve"> fund</w:t>
      </w:r>
      <w:r w:rsidR="008A438A" w:rsidRPr="008C5FF6">
        <w:rPr>
          <w:rFonts w:cs="Arial"/>
          <w:sz w:val="24"/>
          <w:szCs w:val="24"/>
        </w:rPr>
        <w:t>ing for</w:t>
      </w:r>
      <w:r w:rsidRPr="008C5FF6">
        <w:rPr>
          <w:rFonts w:cs="Arial"/>
          <w:sz w:val="24"/>
          <w:szCs w:val="24"/>
        </w:rPr>
        <w:t xml:space="preserve"> the Nutmeg Network for use by</w:t>
      </w:r>
      <w:r w:rsidR="008A438A" w:rsidRPr="008C5FF6">
        <w:rPr>
          <w:rFonts w:cs="Arial"/>
          <w:sz w:val="24"/>
          <w:szCs w:val="24"/>
        </w:rPr>
        <w:t xml:space="preserve"> towns</w:t>
      </w:r>
      <w:r w:rsidR="00BA7E26">
        <w:rPr>
          <w:rFonts w:cs="Arial"/>
          <w:sz w:val="24"/>
          <w:szCs w:val="24"/>
        </w:rPr>
        <w:t xml:space="preserve"> </w:t>
      </w:r>
      <w:r w:rsidR="00BA7E26" w:rsidRPr="00B8469F">
        <w:rPr>
          <w:rFonts w:cs="Arial"/>
          <w:sz w:val="24"/>
          <w:szCs w:val="24"/>
        </w:rPr>
        <w:t>to promote safety and economic development</w:t>
      </w:r>
      <w:r w:rsidR="008A438A" w:rsidRPr="00B8469F">
        <w:rPr>
          <w:rFonts w:cs="Arial"/>
          <w:sz w:val="24"/>
          <w:szCs w:val="24"/>
        </w:rPr>
        <w:t xml:space="preserve">, </w:t>
      </w:r>
      <w:r w:rsidR="00BA7E26" w:rsidRPr="00B8469F">
        <w:rPr>
          <w:rFonts w:cs="Arial"/>
          <w:sz w:val="24"/>
          <w:szCs w:val="24"/>
        </w:rPr>
        <w:t>as well as by</w:t>
      </w:r>
      <w:r w:rsidR="00BA7E26">
        <w:rPr>
          <w:rFonts w:cs="Arial"/>
          <w:sz w:val="24"/>
          <w:szCs w:val="24"/>
        </w:rPr>
        <w:t xml:space="preserve"> </w:t>
      </w:r>
      <w:r w:rsidR="008A438A" w:rsidRPr="008C5FF6">
        <w:rPr>
          <w:rFonts w:cs="Arial"/>
          <w:sz w:val="24"/>
          <w:szCs w:val="24"/>
        </w:rPr>
        <w:t>schools and libraries.  Since its initial build out, the network has been free to use for schools and libraries.  Vitally important information travels over this network (including state-wide school testing) and it should be funded by the state to reflect that importance.</w:t>
      </w:r>
    </w:p>
    <w:p w:rsidR="00A616D9" w:rsidRDefault="00A616D9" w:rsidP="007318D7">
      <w:pPr>
        <w:spacing w:after="0" w:line="240" w:lineRule="auto"/>
        <w:ind w:left="720"/>
        <w:contextualSpacing/>
        <w:rPr>
          <w:rFonts w:cs="Arial"/>
          <w:b/>
          <w:sz w:val="24"/>
          <w:szCs w:val="24"/>
        </w:rPr>
      </w:pPr>
    </w:p>
    <w:p w:rsidR="00A616D9" w:rsidRDefault="00A616D9" w:rsidP="00A616D9">
      <w:pPr>
        <w:spacing w:after="0" w:line="240" w:lineRule="auto"/>
        <w:contextualSpacing/>
        <w:rPr>
          <w:rFonts w:cs="Arial"/>
          <w:b/>
          <w:sz w:val="24"/>
          <w:szCs w:val="24"/>
        </w:rPr>
      </w:pPr>
    </w:p>
    <w:p w:rsidR="007318D7" w:rsidRDefault="008A438A" w:rsidP="00A616D9">
      <w:pPr>
        <w:pStyle w:val="ListParagraph"/>
        <w:numPr>
          <w:ilvl w:val="0"/>
          <w:numId w:val="35"/>
        </w:numPr>
        <w:spacing w:after="0" w:line="240" w:lineRule="auto"/>
        <w:rPr>
          <w:rFonts w:cs="Arial"/>
          <w:b/>
          <w:sz w:val="24"/>
          <w:szCs w:val="24"/>
        </w:rPr>
      </w:pPr>
      <w:r w:rsidRPr="00A616D9">
        <w:rPr>
          <w:rFonts w:cs="Arial"/>
          <w:b/>
          <w:sz w:val="24"/>
          <w:szCs w:val="24"/>
        </w:rPr>
        <w:t>DEMONSTRATE</w:t>
      </w:r>
      <w:r w:rsidR="00284CC7" w:rsidRPr="00A616D9">
        <w:rPr>
          <w:rFonts w:cs="Arial"/>
          <w:b/>
          <w:sz w:val="24"/>
          <w:szCs w:val="24"/>
        </w:rPr>
        <w:t xml:space="preserve"> </w:t>
      </w:r>
      <w:r w:rsidR="00DB7538" w:rsidRPr="00A616D9">
        <w:rPr>
          <w:rFonts w:cs="Arial"/>
          <w:b/>
          <w:sz w:val="24"/>
          <w:szCs w:val="24"/>
        </w:rPr>
        <w:t>the Value of the Nutmeg Network</w:t>
      </w:r>
      <w:r w:rsidR="00A616D9" w:rsidRPr="00A616D9">
        <w:rPr>
          <w:rFonts w:cs="Arial"/>
          <w:b/>
          <w:sz w:val="24"/>
          <w:szCs w:val="24"/>
        </w:rPr>
        <w:t xml:space="preserve">. </w:t>
      </w:r>
    </w:p>
    <w:p w:rsidR="00635428" w:rsidRDefault="00635428" w:rsidP="007318D7">
      <w:pPr>
        <w:pStyle w:val="ListParagraph"/>
        <w:spacing w:after="0" w:line="240" w:lineRule="auto"/>
        <w:rPr>
          <w:rFonts w:cs="Arial"/>
          <w:sz w:val="24"/>
          <w:szCs w:val="24"/>
        </w:rPr>
      </w:pPr>
    </w:p>
    <w:p w:rsidR="00635428" w:rsidRDefault="00635428" w:rsidP="00635428">
      <w:pPr>
        <w:pStyle w:val="ListParagraph"/>
        <w:spacing w:after="0" w:line="240" w:lineRule="auto"/>
        <w:rPr>
          <w:rFonts w:cs="Arial"/>
          <w:b/>
          <w:sz w:val="24"/>
          <w:szCs w:val="24"/>
        </w:rPr>
      </w:pPr>
      <w:r w:rsidRPr="00A616D9">
        <w:rPr>
          <w:rFonts w:cs="Arial"/>
          <w:b/>
          <w:sz w:val="24"/>
          <w:szCs w:val="24"/>
        </w:rPr>
        <w:t>Action:</w:t>
      </w:r>
      <w:r>
        <w:rPr>
          <w:rFonts w:cs="Arial"/>
          <w:b/>
          <w:sz w:val="24"/>
          <w:szCs w:val="24"/>
        </w:rPr>
        <w:t xml:space="preserve"> Continue to support the implementation of the five Nutmeg Network Demonstration Projects.  Promote the value of these tools among all municipalities.</w:t>
      </w:r>
    </w:p>
    <w:p w:rsidR="00635428" w:rsidRDefault="00635428" w:rsidP="007318D7">
      <w:pPr>
        <w:pStyle w:val="ListParagraph"/>
        <w:spacing w:after="0" w:line="240" w:lineRule="auto"/>
        <w:rPr>
          <w:rFonts w:cs="Arial"/>
          <w:sz w:val="24"/>
          <w:szCs w:val="24"/>
        </w:rPr>
      </w:pPr>
    </w:p>
    <w:p w:rsidR="00A616D9" w:rsidRPr="00A616D9" w:rsidRDefault="00284CC7" w:rsidP="007318D7">
      <w:pPr>
        <w:pStyle w:val="ListParagraph"/>
        <w:spacing w:after="0" w:line="240" w:lineRule="auto"/>
        <w:rPr>
          <w:rFonts w:cs="Arial"/>
          <w:b/>
          <w:sz w:val="24"/>
          <w:szCs w:val="24"/>
        </w:rPr>
      </w:pPr>
      <w:r w:rsidRPr="00A616D9">
        <w:rPr>
          <w:rFonts w:cs="Arial"/>
          <w:sz w:val="24"/>
          <w:szCs w:val="24"/>
        </w:rPr>
        <w:t xml:space="preserve">There are five </w:t>
      </w:r>
      <w:r w:rsidR="008E57BB" w:rsidRPr="00A616D9">
        <w:rPr>
          <w:rFonts w:cs="Arial"/>
          <w:sz w:val="24"/>
          <w:szCs w:val="24"/>
        </w:rPr>
        <w:t xml:space="preserve">pilot programs </w:t>
      </w:r>
      <w:r w:rsidRPr="00A616D9">
        <w:rPr>
          <w:rFonts w:cs="Arial"/>
          <w:sz w:val="24"/>
          <w:szCs w:val="24"/>
        </w:rPr>
        <w:t xml:space="preserve">underway </w:t>
      </w:r>
      <w:r w:rsidR="00A616D9">
        <w:rPr>
          <w:rFonts w:cs="Arial"/>
          <w:sz w:val="24"/>
          <w:szCs w:val="24"/>
        </w:rPr>
        <w:t xml:space="preserve">to </w:t>
      </w:r>
      <w:r w:rsidR="008E57BB" w:rsidRPr="00A616D9">
        <w:rPr>
          <w:rFonts w:cs="Arial"/>
          <w:sz w:val="24"/>
          <w:szCs w:val="24"/>
        </w:rPr>
        <w:t xml:space="preserve">demonstrate </w:t>
      </w:r>
      <w:r w:rsidRPr="00A616D9">
        <w:rPr>
          <w:rFonts w:cs="Arial"/>
          <w:sz w:val="24"/>
          <w:szCs w:val="24"/>
        </w:rPr>
        <w:t xml:space="preserve">the value of the fiber connectivity of the Nutmeg Network.  </w:t>
      </w:r>
      <w:r w:rsidR="00DB7538" w:rsidRPr="00A616D9">
        <w:rPr>
          <w:rFonts w:cs="Arial"/>
          <w:sz w:val="24"/>
          <w:szCs w:val="24"/>
        </w:rPr>
        <w:t>These projects were conceived of and supported by the MORE Commission in the 2014 legislative session.  The Capitol Region Council of Governments is implementing these projects in partnership with the Connecticut</w:t>
      </w:r>
      <w:r w:rsidR="00A616D9">
        <w:rPr>
          <w:rFonts w:cs="Arial"/>
          <w:sz w:val="24"/>
          <w:szCs w:val="24"/>
        </w:rPr>
        <w:t xml:space="preserve"> Center for Advanced Technolog</w:t>
      </w:r>
      <w:r w:rsidR="007318D7">
        <w:rPr>
          <w:rFonts w:cs="Arial"/>
          <w:sz w:val="24"/>
          <w:szCs w:val="24"/>
        </w:rPr>
        <w:t xml:space="preserve">y.  </w:t>
      </w:r>
      <w:r w:rsidRPr="00A616D9">
        <w:rPr>
          <w:rFonts w:cs="Arial"/>
          <w:sz w:val="24"/>
          <w:szCs w:val="24"/>
        </w:rPr>
        <w:t xml:space="preserve">The first three projects are nearing completion (Hosting Services, Streaming Video and Voice </w:t>
      </w:r>
      <w:r w:rsidR="00A616D9" w:rsidRPr="00A616D9">
        <w:rPr>
          <w:rFonts w:cs="Arial"/>
          <w:sz w:val="24"/>
          <w:szCs w:val="24"/>
        </w:rPr>
        <w:t>over</w:t>
      </w:r>
      <w:r w:rsidRPr="00A616D9">
        <w:rPr>
          <w:rFonts w:cs="Arial"/>
          <w:sz w:val="24"/>
          <w:szCs w:val="24"/>
        </w:rPr>
        <w:t xml:space="preserve"> Internet Protocol).  These three projects are meant to level the playing field between those towns who have been investing in IT for decades and those who have been hesitant (or unsure) about adopting new technology.</w:t>
      </w:r>
      <w:r w:rsidR="00DB7538" w:rsidRPr="00A616D9">
        <w:rPr>
          <w:rFonts w:cs="Arial"/>
          <w:sz w:val="24"/>
          <w:szCs w:val="24"/>
        </w:rPr>
        <w:t xml:space="preserve">  In addition, towns who already use these types of services will find cost savings in the collaborative approach.</w:t>
      </w:r>
    </w:p>
    <w:p w:rsidR="00A616D9" w:rsidRDefault="00A616D9" w:rsidP="00A616D9">
      <w:pPr>
        <w:pStyle w:val="ListParagraph"/>
        <w:spacing w:after="0" w:line="240" w:lineRule="auto"/>
        <w:rPr>
          <w:rFonts w:cs="Arial"/>
          <w:b/>
          <w:sz w:val="24"/>
          <w:szCs w:val="24"/>
        </w:rPr>
      </w:pPr>
    </w:p>
    <w:p w:rsidR="00A616D9" w:rsidRDefault="00284CC7" w:rsidP="00A616D9">
      <w:pPr>
        <w:pStyle w:val="ListParagraph"/>
        <w:spacing w:after="0" w:line="240" w:lineRule="auto"/>
        <w:rPr>
          <w:rFonts w:cs="Arial"/>
          <w:sz w:val="24"/>
          <w:szCs w:val="24"/>
        </w:rPr>
      </w:pPr>
      <w:r w:rsidRPr="00A616D9">
        <w:rPr>
          <w:rFonts w:cs="Arial"/>
          <w:sz w:val="24"/>
          <w:szCs w:val="24"/>
        </w:rPr>
        <w:lastRenderedPageBreak/>
        <w:t>The last two pilot programs (Electronic Document Management and a Human Resources Portal) use technology to improve the fundamentals of local government service delivery (process and people).  Towns of all sizes will benefit from the outcomes of these last two pilot projects.</w:t>
      </w:r>
    </w:p>
    <w:p w:rsidR="00A616D9" w:rsidRPr="00D16C8E" w:rsidRDefault="00A616D9" w:rsidP="00A616D9">
      <w:pPr>
        <w:pStyle w:val="ListParagraph"/>
        <w:spacing w:after="0" w:line="240" w:lineRule="auto"/>
        <w:rPr>
          <w:rFonts w:cs="Arial"/>
          <w:sz w:val="24"/>
          <w:szCs w:val="24"/>
        </w:rPr>
      </w:pPr>
    </w:p>
    <w:p w:rsidR="00D16C8E" w:rsidRPr="00B8469F" w:rsidRDefault="00D16C8E" w:rsidP="00D16C8E">
      <w:pPr>
        <w:pStyle w:val="ListParagraph"/>
        <w:spacing w:after="0" w:line="240" w:lineRule="auto"/>
        <w:ind w:left="1440" w:hanging="720"/>
        <w:rPr>
          <w:rFonts w:cs="Arial"/>
          <w:sz w:val="24"/>
          <w:szCs w:val="24"/>
        </w:rPr>
      </w:pPr>
      <w:r w:rsidRPr="00D16C8E">
        <w:rPr>
          <w:rFonts w:cs="Arial"/>
          <w:sz w:val="24"/>
          <w:szCs w:val="24"/>
        </w:rPr>
        <w:t xml:space="preserve">•         </w:t>
      </w:r>
      <w:r w:rsidRPr="00DA26CD">
        <w:rPr>
          <w:rFonts w:cs="Arial"/>
          <w:sz w:val="24"/>
          <w:szCs w:val="24"/>
        </w:rPr>
        <w:t xml:space="preserve">Hosting Services: Providing customized, hosted solutions based on individual municipal/public entity needs.  Provide the ability for participating municipalities to house virtual servers or back up their data to a redundant and secure system through the Nutmeg </w:t>
      </w:r>
      <w:r w:rsidRPr="00B8469F">
        <w:rPr>
          <w:rFonts w:cs="Arial"/>
          <w:sz w:val="24"/>
          <w:szCs w:val="24"/>
        </w:rPr>
        <w:t>Network</w:t>
      </w:r>
      <w:r w:rsidR="00054C6F" w:rsidRPr="00B8469F">
        <w:rPr>
          <w:rFonts w:cs="Arial"/>
          <w:sz w:val="24"/>
          <w:szCs w:val="24"/>
        </w:rPr>
        <w:t xml:space="preserve"> that will protect the personal information of our citizens</w:t>
      </w:r>
      <w:r w:rsidRPr="00B8469F">
        <w:rPr>
          <w:rFonts w:cs="Arial"/>
          <w:sz w:val="24"/>
          <w:szCs w:val="24"/>
        </w:rPr>
        <w:t>.  Pilot project is concluding in late October 2015.</w:t>
      </w:r>
    </w:p>
    <w:p w:rsidR="00D16C8E" w:rsidRPr="00B8469F" w:rsidRDefault="00D16C8E" w:rsidP="00D16C8E">
      <w:pPr>
        <w:pStyle w:val="ListParagraph"/>
        <w:spacing w:after="0" w:line="240" w:lineRule="auto"/>
        <w:ind w:left="1440" w:hanging="720"/>
        <w:rPr>
          <w:rFonts w:cs="Arial"/>
          <w:sz w:val="24"/>
          <w:szCs w:val="24"/>
        </w:rPr>
      </w:pPr>
      <w:r w:rsidRPr="00B8469F">
        <w:rPr>
          <w:rFonts w:cs="Arial"/>
          <w:sz w:val="24"/>
          <w:szCs w:val="24"/>
        </w:rPr>
        <w:t xml:space="preserve">•         </w:t>
      </w:r>
      <w:r w:rsidR="00EF699E" w:rsidRPr="00B8469F">
        <w:rPr>
          <w:rFonts w:cs="Arial"/>
          <w:sz w:val="24"/>
          <w:szCs w:val="24"/>
        </w:rPr>
        <w:t>Streaming Video</w:t>
      </w:r>
      <w:r w:rsidRPr="00B8469F">
        <w:rPr>
          <w:rFonts w:cs="Arial"/>
          <w:sz w:val="24"/>
          <w:szCs w:val="24"/>
        </w:rPr>
        <w:t xml:space="preserve">: Enabling municipalities to have live video streaming of Council, Board of Selectmen and Committee meetings over the internet, enhancing public information and education.  This </w:t>
      </w:r>
      <w:r w:rsidR="00EF699E" w:rsidRPr="00B8469F">
        <w:rPr>
          <w:rFonts w:cs="Arial"/>
          <w:sz w:val="24"/>
          <w:szCs w:val="24"/>
        </w:rPr>
        <w:t>may potentially</w:t>
      </w:r>
      <w:r w:rsidRPr="00B8469F">
        <w:rPr>
          <w:rFonts w:cs="Arial"/>
          <w:sz w:val="24"/>
          <w:szCs w:val="24"/>
        </w:rPr>
        <w:t xml:space="preserve"> be a less expensive and more mobile alternative (extensive recording equipme</w:t>
      </w:r>
      <w:r w:rsidR="00EF699E" w:rsidRPr="00B8469F">
        <w:rPr>
          <w:rFonts w:cs="Arial"/>
          <w:sz w:val="24"/>
          <w:szCs w:val="24"/>
        </w:rPr>
        <w:t>nt not needed) for towns to use, depending on the system being replaced, if any.</w:t>
      </w:r>
    </w:p>
    <w:p w:rsidR="00D16C8E" w:rsidRPr="00DA26CD" w:rsidRDefault="00D16C8E" w:rsidP="00D16C8E">
      <w:pPr>
        <w:pStyle w:val="ListParagraph"/>
        <w:spacing w:after="0" w:line="240" w:lineRule="auto"/>
        <w:ind w:left="1440" w:hanging="720"/>
        <w:rPr>
          <w:rFonts w:cs="Arial"/>
          <w:sz w:val="24"/>
          <w:szCs w:val="24"/>
        </w:rPr>
      </w:pPr>
      <w:r w:rsidRPr="00B8469F">
        <w:rPr>
          <w:rFonts w:cs="Arial"/>
          <w:sz w:val="24"/>
          <w:szCs w:val="24"/>
        </w:rPr>
        <w:t>•         Voice Over Internet Protocol: Providing telephone services carried over the Nutmeg</w:t>
      </w:r>
      <w:r w:rsidRPr="00DA26CD">
        <w:rPr>
          <w:rFonts w:cs="Arial"/>
          <w:sz w:val="24"/>
          <w:szCs w:val="24"/>
        </w:rPr>
        <w:t xml:space="preserve"> Network including other types of advanced communications such as web and video conferencing.</w:t>
      </w:r>
    </w:p>
    <w:p w:rsidR="00D16C8E" w:rsidRPr="00DA26CD" w:rsidRDefault="00D16C8E" w:rsidP="00D16C8E">
      <w:pPr>
        <w:pStyle w:val="ListParagraph"/>
        <w:spacing w:after="0" w:line="240" w:lineRule="auto"/>
        <w:ind w:left="1440" w:hanging="720"/>
        <w:rPr>
          <w:rFonts w:cs="Arial"/>
          <w:sz w:val="24"/>
          <w:szCs w:val="24"/>
        </w:rPr>
      </w:pPr>
      <w:r w:rsidRPr="00DA26CD">
        <w:rPr>
          <w:rFonts w:cs="Arial"/>
          <w:sz w:val="24"/>
          <w:szCs w:val="24"/>
        </w:rPr>
        <w:t xml:space="preserve">•         Electronic Document Management (Recruiting towns in October 2015): Pilot towns will develop and have access to a cooperatively purchased Electronic Document Management System (EDMS) and service support to routinely digitize, route and archive municipal data.   This will provide not only ready access for Freedom of Information requests, but also lays the groundwork for daily operational efficiencies of local government.  </w:t>
      </w:r>
    </w:p>
    <w:p w:rsidR="00902FA2" w:rsidRDefault="00D16C8E" w:rsidP="00D16C8E">
      <w:pPr>
        <w:pStyle w:val="ListParagraph"/>
        <w:spacing w:after="0" w:line="240" w:lineRule="auto"/>
        <w:ind w:left="1440" w:hanging="720"/>
        <w:rPr>
          <w:rFonts w:cs="Arial"/>
          <w:sz w:val="24"/>
          <w:szCs w:val="24"/>
        </w:rPr>
      </w:pPr>
      <w:r w:rsidRPr="00DA26CD">
        <w:rPr>
          <w:rFonts w:cs="Arial"/>
          <w:sz w:val="24"/>
          <w:szCs w:val="24"/>
        </w:rPr>
        <w:t>•         Human Resources Portal (Recruiting towns in October 2015): Pilot towns will develop and have access to a CRCOG Human Resources online portal on the Nutmeg Network, including, but not limited to, a clearinghouse of municipal wage and classification information and other templates that can help develop Human Resources (HR) policy at the local level.</w:t>
      </w:r>
      <w:r w:rsidRPr="00D16C8E">
        <w:rPr>
          <w:rFonts w:cs="Arial"/>
          <w:sz w:val="24"/>
          <w:szCs w:val="24"/>
        </w:rPr>
        <w:t xml:space="preserve">  </w:t>
      </w:r>
    </w:p>
    <w:p w:rsidR="00A616D9" w:rsidRDefault="00A616D9" w:rsidP="00A616D9">
      <w:pPr>
        <w:pStyle w:val="ListParagraph"/>
        <w:spacing w:after="0" w:line="240" w:lineRule="auto"/>
        <w:rPr>
          <w:rFonts w:cs="Arial"/>
          <w:b/>
          <w:sz w:val="24"/>
          <w:szCs w:val="24"/>
        </w:rPr>
      </w:pPr>
    </w:p>
    <w:p w:rsidR="007318D7" w:rsidRDefault="008A438A" w:rsidP="00A616D9">
      <w:pPr>
        <w:pStyle w:val="ListParagraph"/>
        <w:numPr>
          <w:ilvl w:val="0"/>
          <w:numId w:val="35"/>
        </w:numPr>
        <w:spacing w:after="0" w:line="240" w:lineRule="auto"/>
        <w:rPr>
          <w:rFonts w:cs="Arial"/>
          <w:b/>
          <w:sz w:val="24"/>
          <w:szCs w:val="24"/>
        </w:rPr>
      </w:pPr>
      <w:r w:rsidRPr="008C5FF6">
        <w:rPr>
          <w:rFonts w:cs="Arial"/>
          <w:b/>
          <w:sz w:val="24"/>
          <w:szCs w:val="24"/>
        </w:rPr>
        <w:t>C</w:t>
      </w:r>
      <w:r w:rsidR="00A616D9">
        <w:rPr>
          <w:rFonts w:cs="Arial"/>
          <w:b/>
          <w:sz w:val="24"/>
          <w:szCs w:val="24"/>
        </w:rPr>
        <w:t>ontinue</w:t>
      </w:r>
      <w:r w:rsidR="00284CC7" w:rsidRPr="008C5FF6">
        <w:rPr>
          <w:rFonts w:cs="Arial"/>
          <w:b/>
          <w:sz w:val="24"/>
          <w:szCs w:val="24"/>
        </w:rPr>
        <w:t xml:space="preserve"> to Promote Use of the Nutmeg Network</w:t>
      </w:r>
      <w:r w:rsidR="00A616D9">
        <w:rPr>
          <w:rFonts w:cs="Arial"/>
          <w:b/>
          <w:sz w:val="24"/>
          <w:szCs w:val="24"/>
        </w:rPr>
        <w:t xml:space="preserve">.  </w:t>
      </w:r>
    </w:p>
    <w:p w:rsidR="00635428" w:rsidRDefault="00635428" w:rsidP="007318D7">
      <w:pPr>
        <w:pStyle w:val="ListParagraph"/>
        <w:spacing w:after="0" w:line="240" w:lineRule="auto"/>
        <w:rPr>
          <w:sz w:val="24"/>
          <w:szCs w:val="24"/>
        </w:rPr>
      </w:pPr>
    </w:p>
    <w:p w:rsidR="00635428" w:rsidRPr="007318D7" w:rsidRDefault="00635428" w:rsidP="00635428">
      <w:pPr>
        <w:pStyle w:val="ListParagraph"/>
        <w:spacing w:after="0" w:line="240" w:lineRule="auto"/>
        <w:rPr>
          <w:rFonts w:cs="Arial"/>
          <w:b/>
          <w:sz w:val="24"/>
          <w:szCs w:val="24"/>
        </w:rPr>
      </w:pPr>
      <w:r w:rsidRPr="00CE3F1E">
        <w:rPr>
          <w:b/>
          <w:sz w:val="24"/>
          <w:szCs w:val="24"/>
        </w:rPr>
        <w:t xml:space="preserve">Action: Discuss additional identified shared software opportunities in the Technology Subcommittee and encourage input from municipal officials, state officials, professional groups (such as </w:t>
      </w:r>
      <w:r w:rsidRPr="00902FA2">
        <w:rPr>
          <w:b/>
          <w:sz w:val="24"/>
          <w:szCs w:val="24"/>
        </w:rPr>
        <w:t>Connecticut Association of</w:t>
      </w:r>
      <w:r>
        <w:rPr>
          <w:b/>
          <w:sz w:val="24"/>
          <w:szCs w:val="24"/>
        </w:rPr>
        <w:t xml:space="preserve"> </w:t>
      </w:r>
      <w:r w:rsidRPr="00902FA2">
        <w:rPr>
          <w:b/>
          <w:sz w:val="24"/>
          <w:szCs w:val="24"/>
        </w:rPr>
        <w:t xml:space="preserve">Public School Superintendents </w:t>
      </w:r>
      <w:r>
        <w:rPr>
          <w:b/>
          <w:sz w:val="24"/>
          <w:szCs w:val="24"/>
        </w:rPr>
        <w:t>(</w:t>
      </w:r>
      <w:r w:rsidRPr="00CE3F1E">
        <w:rPr>
          <w:b/>
          <w:sz w:val="24"/>
          <w:szCs w:val="24"/>
        </w:rPr>
        <w:t>CAP</w:t>
      </w:r>
      <w:r>
        <w:rPr>
          <w:b/>
          <w:sz w:val="24"/>
          <w:szCs w:val="24"/>
        </w:rPr>
        <w:t>P</w:t>
      </w:r>
      <w:r w:rsidRPr="00CE3F1E">
        <w:rPr>
          <w:b/>
          <w:sz w:val="24"/>
          <w:szCs w:val="24"/>
        </w:rPr>
        <w:t>S</w:t>
      </w:r>
      <w:r>
        <w:rPr>
          <w:b/>
          <w:sz w:val="24"/>
          <w:szCs w:val="24"/>
        </w:rPr>
        <w:t>)</w:t>
      </w:r>
      <w:r w:rsidRPr="00CE3F1E">
        <w:rPr>
          <w:b/>
          <w:sz w:val="24"/>
          <w:szCs w:val="24"/>
        </w:rPr>
        <w:t xml:space="preserve"> Technology Group and the Government Managers of Information Systems (GMIS)), and Commissions such as the Commission for Educational Technology.</w:t>
      </w:r>
    </w:p>
    <w:p w:rsidR="00635428" w:rsidRDefault="00635428" w:rsidP="007318D7">
      <w:pPr>
        <w:pStyle w:val="ListParagraph"/>
        <w:spacing w:after="0" w:line="240" w:lineRule="auto"/>
        <w:rPr>
          <w:sz w:val="24"/>
          <w:szCs w:val="24"/>
        </w:rPr>
      </w:pPr>
    </w:p>
    <w:p w:rsidR="008A438A" w:rsidRDefault="00284CC7" w:rsidP="00E41C46">
      <w:pPr>
        <w:pStyle w:val="ListParagraph"/>
        <w:spacing w:after="0" w:line="240" w:lineRule="auto"/>
        <w:rPr>
          <w:sz w:val="24"/>
          <w:szCs w:val="24"/>
        </w:rPr>
      </w:pPr>
      <w:r w:rsidRPr="00A616D9">
        <w:rPr>
          <w:sz w:val="24"/>
          <w:szCs w:val="24"/>
        </w:rPr>
        <w:t xml:space="preserve">Continued development of on-network software and collaboration opportunities is </w:t>
      </w:r>
      <w:r w:rsidR="008A438A" w:rsidRPr="00A616D9">
        <w:rPr>
          <w:sz w:val="24"/>
          <w:szCs w:val="24"/>
        </w:rPr>
        <w:t>vitally important to expand the use and benefit of the Nutmeg Network.</w:t>
      </w:r>
      <w:r w:rsidR="007318D7">
        <w:rPr>
          <w:sz w:val="24"/>
          <w:szCs w:val="24"/>
        </w:rPr>
        <w:t xml:space="preserve">  </w:t>
      </w:r>
      <w:r w:rsidR="001F78DD" w:rsidRPr="00CE3F1E">
        <w:rPr>
          <w:sz w:val="24"/>
          <w:szCs w:val="24"/>
        </w:rPr>
        <w:t>Build this development around the strategic goals of the Commission for Educational Technology.</w:t>
      </w:r>
    </w:p>
    <w:p w:rsidR="00E41C46" w:rsidRPr="00E41C46" w:rsidRDefault="00E41C46" w:rsidP="00E41C46">
      <w:pPr>
        <w:pStyle w:val="ListParagraph"/>
        <w:spacing w:after="0" w:line="240" w:lineRule="auto"/>
        <w:rPr>
          <w:rFonts w:cs="Arial"/>
          <w:b/>
          <w:sz w:val="24"/>
          <w:szCs w:val="24"/>
        </w:rPr>
      </w:pPr>
    </w:p>
    <w:p w:rsidR="00D464D3" w:rsidRPr="00D464D3" w:rsidRDefault="00D464D3" w:rsidP="00D464D3">
      <w:pPr>
        <w:numPr>
          <w:ilvl w:val="0"/>
          <w:numId w:val="35"/>
        </w:numPr>
        <w:spacing w:after="0" w:line="240" w:lineRule="auto"/>
        <w:contextualSpacing/>
        <w:rPr>
          <w:rFonts w:cs="Arial"/>
          <w:sz w:val="24"/>
          <w:szCs w:val="24"/>
        </w:rPr>
      </w:pPr>
      <w:r w:rsidRPr="00D464D3">
        <w:rPr>
          <w:rFonts w:cs="Arial"/>
          <w:b/>
          <w:sz w:val="24"/>
          <w:szCs w:val="24"/>
        </w:rPr>
        <w:t>MAXIMIZE Use of Education Data while Reducing Costs</w:t>
      </w:r>
    </w:p>
    <w:p w:rsidR="00635428" w:rsidRDefault="00635428" w:rsidP="00D464D3">
      <w:pPr>
        <w:spacing w:after="0" w:line="240" w:lineRule="auto"/>
        <w:ind w:left="720"/>
        <w:contextualSpacing/>
        <w:rPr>
          <w:rFonts w:cs="Arial"/>
          <w:sz w:val="24"/>
          <w:szCs w:val="24"/>
        </w:rPr>
      </w:pPr>
    </w:p>
    <w:p w:rsidR="00635428" w:rsidRPr="00D464D3" w:rsidRDefault="00635428" w:rsidP="00635428">
      <w:pPr>
        <w:spacing w:after="0" w:line="240" w:lineRule="auto"/>
        <w:ind w:left="720"/>
        <w:rPr>
          <w:rFonts w:cs="Arial"/>
          <w:b/>
          <w:sz w:val="24"/>
          <w:szCs w:val="24"/>
        </w:rPr>
      </w:pPr>
      <w:r w:rsidRPr="00D464D3">
        <w:rPr>
          <w:rFonts w:cs="Arial"/>
          <w:b/>
          <w:sz w:val="24"/>
          <w:szCs w:val="24"/>
        </w:rPr>
        <w:t>Actions:</w:t>
      </w:r>
    </w:p>
    <w:p w:rsidR="00635428" w:rsidRPr="00D464D3" w:rsidRDefault="00635428" w:rsidP="00635428">
      <w:pPr>
        <w:numPr>
          <w:ilvl w:val="0"/>
          <w:numId w:val="40"/>
        </w:numPr>
        <w:spacing w:after="0" w:line="240" w:lineRule="auto"/>
        <w:contextualSpacing/>
        <w:rPr>
          <w:rFonts w:cs="Arial"/>
          <w:b/>
          <w:sz w:val="24"/>
          <w:szCs w:val="24"/>
        </w:rPr>
      </w:pPr>
      <w:r w:rsidRPr="00DA26CD">
        <w:rPr>
          <w:rFonts w:cs="Arial"/>
          <w:b/>
          <w:sz w:val="24"/>
          <w:szCs w:val="24"/>
        </w:rPr>
        <w:lastRenderedPageBreak/>
        <w:t xml:space="preserve">The Commissioner </w:t>
      </w:r>
      <w:r w:rsidR="00860013" w:rsidRPr="00DA26CD">
        <w:rPr>
          <w:rFonts w:cs="Arial"/>
          <w:b/>
          <w:sz w:val="24"/>
          <w:szCs w:val="24"/>
        </w:rPr>
        <w:t>of Education shall identify</w:t>
      </w:r>
      <w:r w:rsidRPr="00DA26CD">
        <w:rPr>
          <w:rFonts w:cs="Arial"/>
          <w:b/>
          <w:sz w:val="24"/>
          <w:szCs w:val="24"/>
        </w:rPr>
        <w:t xml:space="preserve"> a common student information system to be </w:t>
      </w:r>
      <w:r w:rsidR="00860013" w:rsidRPr="00DA26CD">
        <w:rPr>
          <w:rFonts w:cs="Arial"/>
          <w:b/>
          <w:sz w:val="24"/>
          <w:szCs w:val="24"/>
        </w:rPr>
        <w:t>offered to</w:t>
      </w:r>
      <w:r w:rsidRPr="00D464D3">
        <w:rPr>
          <w:rFonts w:cs="Arial"/>
          <w:b/>
          <w:sz w:val="24"/>
          <w:szCs w:val="24"/>
        </w:rPr>
        <w:t xml:space="preserve"> all public schools and school districts in Connecticut, </w:t>
      </w:r>
      <w:r w:rsidR="00860013">
        <w:rPr>
          <w:rFonts w:cs="Arial"/>
          <w:b/>
          <w:sz w:val="24"/>
          <w:szCs w:val="24"/>
        </w:rPr>
        <w:t>(</w:t>
      </w:r>
      <w:r>
        <w:rPr>
          <w:rFonts w:cs="Arial"/>
          <w:b/>
          <w:sz w:val="24"/>
          <w:szCs w:val="24"/>
        </w:rPr>
        <w:t xml:space="preserve">possibly </w:t>
      </w:r>
      <w:r w:rsidR="00860013" w:rsidRPr="00D464D3">
        <w:rPr>
          <w:rFonts w:cs="Arial"/>
          <w:b/>
          <w:sz w:val="24"/>
          <w:szCs w:val="24"/>
        </w:rPr>
        <w:t xml:space="preserve">administered </w:t>
      </w:r>
      <w:r w:rsidRPr="00D464D3">
        <w:rPr>
          <w:rFonts w:cs="Arial"/>
          <w:b/>
          <w:sz w:val="24"/>
          <w:szCs w:val="24"/>
        </w:rPr>
        <w:t>through the RESC</w:t>
      </w:r>
      <w:r w:rsidR="00860013">
        <w:rPr>
          <w:rFonts w:cs="Arial"/>
          <w:b/>
          <w:sz w:val="24"/>
          <w:szCs w:val="24"/>
        </w:rPr>
        <w:t>s.)</w:t>
      </w:r>
    </w:p>
    <w:p w:rsidR="00635428" w:rsidRPr="00D464D3" w:rsidRDefault="00635428" w:rsidP="00635428">
      <w:pPr>
        <w:numPr>
          <w:ilvl w:val="0"/>
          <w:numId w:val="40"/>
        </w:numPr>
        <w:spacing w:after="0" w:line="240" w:lineRule="auto"/>
        <w:contextualSpacing/>
        <w:rPr>
          <w:rFonts w:cs="Arial"/>
          <w:b/>
          <w:sz w:val="24"/>
          <w:szCs w:val="24"/>
        </w:rPr>
      </w:pPr>
      <w:r w:rsidRPr="00D464D3">
        <w:rPr>
          <w:rFonts w:cs="Arial"/>
          <w:b/>
          <w:sz w:val="24"/>
          <w:szCs w:val="24"/>
        </w:rPr>
        <w:t>Establish a statewide data standard to reduce costs, increase accuracy and comparability, and improve the availability of real time data.</w:t>
      </w:r>
    </w:p>
    <w:p w:rsidR="00635428" w:rsidRDefault="00635428" w:rsidP="00635428">
      <w:pPr>
        <w:numPr>
          <w:ilvl w:val="0"/>
          <w:numId w:val="40"/>
        </w:numPr>
        <w:spacing w:after="0" w:line="240" w:lineRule="auto"/>
        <w:contextualSpacing/>
        <w:rPr>
          <w:rFonts w:cs="Arial"/>
          <w:b/>
          <w:sz w:val="24"/>
          <w:szCs w:val="24"/>
        </w:rPr>
      </w:pPr>
      <w:r w:rsidRPr="00D464D3">
        <w:rPr>
          <w:rFonts w:cs="Arial"/>
          <w:b/>
          <w:sz w:val="24"/>
          <w:szCs w:val="24"/>
        </w:rPr>
        <w:t>Allocate incentive grants to ensure that districts needing to transition to a different student information system will do so without additional cost to the school district.  ($3 million)</w:t>
      </w:r>
    </w:p>
    <w:p w:rsidR="00635428" w:rsidRPr="00860013" w:rsidRDefault="00635428" w:rsidP="00635428">
      <w:pPr>
        <w:pStyle w:val="ListParagraph"/>
        <w:numPr>
          <w:ilvl w:val="0"/>
          <w:numId w:val="40"/>
        </w:numPr>
        <w:spacing w:after="0" w:line="240" w:lineRule="auto"/>
        <w:rPr>
          <w:rFonts w:cs="Arial"/>
          <w:sz w:val="24"/>
          <w:szCs w:val="24"/>
        </w:rPr>
      </w:pPr>
      <w:r w:rsidRPr="00CE3F1E">
        <w:rPr>
          <w:b/>
          <w:bCs/>
          <w:i/>
          <w:iCs/>
        </w:rPr>
        <w:t xml:space="preserve">Coordinate with the SDE’s efforts to provide IEP software for schools – 2015 budget implementer §§ 272 &amp; 273 — Digital IEP Form Software. </w:t>
      </w:r>
    </w:p>
    <w:p w:rsidR="00860013" w:rsidRPr="00B8469F" w:rsidRDefault="00860013" w:rsidP="00860013">
      <w:pPr>
        <w:numPr>
          <w:ilvl w:val="0"/>
          <w:numId w:val="40"/>
        </w:numPr>
        <w:spacing w:after="0" w:line="240" w:lineRule="auto"/>
        <w:contextualSpacing/>
        <w:rPr>
          <w:rFonts w:cs="Arial"/>
          <w:b/>
          <w:sz w:val="24"/>
          <w:szCs w:val="24"/>
        </w:rPr>
      </w:pPr>
      <w:r w:rsidRPr="00B8469F">
        <w:rPr>
          <w:rFonts w:cs="Arial"/>
          <w:b/>
          <w:sz w:val="24"/>
          <w:szCs w:val="24"/>
        </w:rPr>
        <w:t xml:space="preserve">Fund pilots:  Allocate </w:t>
      </w:r>
      <w:r w:rsidR="00B8469F" w:rsidRPr="00B8469F">
        <w:rPr>
          <w:rFonts w:cs="Arial"/>
          <w:b/>
          <w:sz w:val="24"/>
          <w:szCs w:val="24"/>
        </w:rPr>
        <w:t>funds</w:t>
      </w:r>
      <w:r w:rsidRPr="00B8469F">
        <w:rPr>
          <w:rFonts w:cs="Arial"/>
          <w:b/>
          <w:sz w:val="24"/>
          <w:szCs w:val="24"/>
        </w:rPr>
        <w:t xml:space="preserve"> to pilot student indicator monitoring software on a regional basis, and evaluate such pilots for cost savings and impact on student achievement.</w:t>
      </w:r>
      <w:r w:rsidR="00BA7E26" w:rsidRPr="00B8469F">
        <w:rPr>
          <w:rFonts w:cs="Arial"/>
          <w:b/>
          <w:sz w:val="24"/>
          <w:szCs w:val="24"/>
        </w:rPr>
        <w:t xml:space="preserve">  </w:t>
      </w:r>
    </w:p>
    <w:p w:rsidR="00635428" w:rsidRDefault="00635428" w:rsidP="00D464D3">
      <w:pPr>
        <w:spacing w:after="0" w:line="240" w:lineRule="auto"/>
        <w:ind w:left="720"/>
        <w:contextualSpacing/>
        <w:rPr>
          <w:rFonts w:cs="Arial"/>
          <w:sz w:val="24"/>
          <w:szCs w:val="24"/>
        </w:rPr>
      </w:pPr>
    </w:p>
    <w:p w:rsidR="00B8469F" w:rsidRDefault="00D464D3" w:rsidP="00D464D3">
      <w:pPr>
        <w:spacing w:after="0" w:line="240" w:lineRule="auto"/>
        <w:ind w:left="720"/>
        <w:contextualSpacing/>
        <w:rPr>
          <w:rFonts w:cs="Arial"/>
          <w:sz w:val="24"/>
          <w:szCs w:val="24"/>
        </w:rPr>
      </w:pPr>
      <w:r w:rsidRPr="00D464D3">
        <w:rPr>
          <w:rFonts w:cs="Arial"/>
          <w:sz w:val="24"/>
          <w:szCs w:val="24"/>
        </w:rPr>
        <w:t xml:space="preserve">Each Connecticut school district purchases and uses a student information system to manage and report demographic, scheduling, grades, and other student data. At this time, approximately 70% of public school districts in Connecticut use PowerSchool. </w:t>
      </w:r>
    </w:p>
    <w:p w:rsidR="00B8469F" w:rsidRDefault="00B8469F" w:rsidP="00D464D3">
      <w:pPr>
        <w:spacing w:after="0" w:line="240" w:lineRule="auto"/>
        <w:ind w:left="720"/>
        <w:contextualSpacing/>
        <w:rPr>
          <w:rFonts w:cs="Arial"/>
          <w:sz w:val="24"/>
          <w:szCs w:val="24"/>
        </w:rPr>
      </w:pPr>
    </w:p>
    <w:p w:rsidR="00B8469F" w:rsidRDefault="00D464D3" w:rsidP="00B8469F">
      <w:pPr>
        <w:spacing w:after="0" w:line="240" w:lineRule="auto"/>
        <w:ind w:left="360"/>
        <w:rPr>
          <w:rFonts w:cs="Arial"/>
          <w:sz w:val="24"/>
          <w:szCs w:val="24"/>
        </w:rPr>
      </w:pPr>
      <w:r w:rsidRPr="00B8469F">
        <w:rPr>
          <w:rFonts w:cs="Arial"/>
          <w:sz w:val="24"/>
          <w:szCs w:val="24"/>
        </w:rPr>
        <w:t xml:space="preserve">Efficiencies could be achieved if all school districts in the State utilized the same student information system, administered </w:t>
      </w:r>
      <w:r w:rsidR="00860013" w:rsidRPr="00B8469F">
        <w:rPr>
          <w:rFonts w:cs="Arial"/>
          <w:sz w:val="24"/>
          <w:szCs w:val="24"/>
        </w:rPr>
        <w:t xml:space="preserve">potentially </w:t>
      </w:r>
      <w:r w:rsidRPr="00B8469F">
        <w:rPr>
          <w:rFonts w:cs="Arial"/>
          <w:sz w:val="24"/>
          <w:szCs w:val="24"/>
        </w:rPr>
        <w:t>through Connecticut’s six regional educational service centers (RESCs):</w:t>
      </w:r>
      <w:r w:rsidR="00B8469F" w:rsidRPr="00B8469F">
        <w:rPr>
          <w:rFonts w:cs="Arial"/>
          <w:sz w:val="24"/>
          <w:szCs w:val="24"/>
        </w:rPr>
        <w:t xml:space="preserve">  </w:t>
      </w:r>
    </w:p>
    <w:p w:rsidR="00D464D3" w:rsidRPr="00B8469F" w:rsidRDefault="00D464D3" w:rsidP="00B8469F">
      <w:pPr>
        <w:pStyle w:val="ListParagraph"/>
        <w:numPr>
          <w:ilvl w:val="0"/>
          <w:numId w:val="43"/>
        </w:numPr>
        <w:spacing w:after="0" w:line="240" w:lineRule="auto"/>
        <w:rPr>
          <w:rFonts w:cs="Arial"/>
          <w:sz w:val="24"/>
          <w:szCs w:val="24"/>
        </w:rPr>
      </w:pPr>
      <w:r w:rsidRPr="00B8469F">
        <w:rPr>
          <w:rFonts w:cs="Arial"/>
          <w:i/>
          <w:sz w:val="24"/>
          <w:szCs w:val="24"/>
        </w:rPr>
        <w:t>Lower pricing for hosting based on a volume discount.</w:t>
      </w:r>
      <w:r w:rsidRPr="00B8469F">
        <w:rPr>
          <w:rFonts w:cs="Arial"/>
          <w:sz w:val="24"/>
          <w:szCs w:val="24"/>
        </w:rPr>
        <w:t xml:space="preserve">  For example, </w:t>
      </w:r>
      <w:r w:rsidR="00902FA2" w:rsidRPr="00B8469F">
        <w:rPr>
          <w:rFonts w:cs="Arial"/>
          <w:sz w:val="24"/>
          <w:szCs w:val="24"/>
        </w:rPr>
        <w:t>the Capitol Region Education Council (</w:t>
      </w:r>
      <w:r w:rsidRPr="00B8469F">
        <w:rPr>
          <w:rFonts w:cs="Arial"/>
          <w:sz w:val="24"/>
          <w:szCs w:val="24"/>
        </w:rPr>
        <w:t>CREC</w:t>
      </w:r>
      <w:r w:rsidR="00902FA2" w:rsidRPr="00B8469F">
        <w:rPr>
          <w:rFonts w:cs="Arial"/>
          <w:sz w:val="24"/>
          <w:szCs w:val="24"/>
        </w:rPr>
        <w:t>)</w:t>
      </w:r>
      <w:r w:rsidRPr="00B8469F">
        <w:rPr>
          <w:rFonts w:cs="Arial"/>
          <w:sz w:val="24"/>
          <w:szCs w:val="24"/>
        </w:rPr>
        <w:t xml:space="preserve"> has created a hosting consortium for PowerSchool. Participating districts receive the lowest available price, up to $2 per student less than what they would pay through a standalone district contract.</w:t>
      </w:r>
    </w:p>
    <w:p w:rsidR="00BA7E26" w:rsidRPr="00B8469F" w:rsidRDefault="00BA7E26" w:rsidP="00B8469F">
      <w:pPr>
        <w:pStyle w:val="ListParagraph"/>
        <w:numPr>
          <w:ilvl w:val="0"/>
          <w:numId w:val="43"/>
        </w:numPr>
        <w:spacing w:after="0" w:line="240" w:lineRule="auto"/>
        <w:rPr>
          <w:rFonts w:cs="Arial"/>
          <w:sz w:val="24"/>
          <w:szCs w:val="24"/>
        </w:rPr>
      </w:pPr>
      <w:r w:rsidRPr="00B8469F">
        <w:rPr>
          <w:rFonts w:cs="Arial"/>
          <w:i/>
          <w:sz w:val="24"/>
          <w:szCs w:val="24"/>
        </w:rPr>
        <w:t>Reduce data reporting burdens.</w:t>
      </w:r>
      <w:r w:rsidRPr="00B8469F">
        <w:rPr>
          <w:rFonts w:cs="Arial"/>
          <w:sz w:val="24"/>
          <w:szCs w:val="24"/>
        </w:rPr>
        <w:t xml:space="preserve">  If all school districts reported data through the same student information system, data could be uploaded seamlessly to the State Department of Education, eliminating the need for some currently required data collections, thus freeing administrators and other educators to spend more time on curriculum and instruction.</w:t>
      </w:r>
    </w:p>
    <w:p w:rsidR="00D464D3" w:rsidRPr="00B8469F" w:rsidRDefault="00D464D3" w:rsidP="00B8469F">
      <w:pPr>
        <w:pStyle w:val="ListParagraph"/>
        <w:numPr>
          <w:ilvl w:val="0"/>
          <w:numId w:val="43"/>
        </w:numPr>
        <w:spacing w:after="0" w:line="240" w:lineRule="auto"/>
        <w:jc w:val="both"/>
        <w:rPr>
          <w:rFonts w:cs="Arial"/>
          <w:sz w:val="24"/>
          <w:szCs w:val="24"/>
        </w:rPr>
      </w:pPr>
      <w:r w:rsidRPr="00B8469F">
        <w:rPr>
          <w:rFonts w:cs="Arial"/>
          <w:i/>
          <w:sz w:val="24"/>
          <w:szCs w:val="24"/>
        </w:rPr>
        <w:t>Improved transition for students moving between school districts.</w:t>
      </w:r>
      <w:r w:rsidRPr="00B8469F">
        <w:rPr>
          <w:rFonts w:cs="Arial"/>
          <w:sz w:val="24"/>
          <w:szCs w:val="24"/>
        </w:rPr>
        <w:t xml:space="preserve">  If all districts were on the same student information system, electronic student records could be swiftly transmitted to a student’s new district upon transfer, in accordance with state and federal privacy laws and policies.  This would ensur</w:t>
      </w:r>
      <w:r w:rsidR="00B8469F" w:rsidRPr="00B8469F">
        <w:rPr>
          <w:rFonts w:cs="Arial"/>
          <w:sz w:val="24"/>
          <w:szCs w:val="24"/>
        </w:rPr>
        <w:t>e</w:t>
      </w:r>
      <w:r w:rsidRPr="00B8469F">
        <w:rPr>
          <w:rFonts w:cs="Arial"/>
          <w:sz w:val="24"/>
          <w:szCs w:val="24"/>
        </w:rPr>
        <w:t xml:space="preserve"> that demographic and educational programming data would be readily available to the new district, eliminating significant delays resulting from a paper record transfer process.</w:t>
      </w:r>
    </w:p>
    <w:p w:rsidR="00D464D3" w:rsidRPr="00B8469F" w:rsidRDefault="00D464D3" w:rsidP="00B8469F">
      <w:pPr>
        <w:pStyle w:val="ListParagraph"/>
        <w:numPr>
          <w:ilvl w:val="0"/>
          <w:numId w:val="43"/>
        </w:numPr>
        <w:spacing w:after="0" w:line="240" w:lineRule="auto"/>
        <w:rPr>
          <w:rFonts w:cs="Arial"/>
          <w:sz w:val="24"/>
          <w:szCs w:val="24"/>
        </w:rPr>
      </w:pPr>
      <w:r w:rsidRPr="00B8469F">
        <w:rPr>
          <w:rFonts w:cs="Arial"/>
          <w:i/>
          <w:sz w:val="24"/>
          <w:szCs w:val="24"/>
        </w:rPr>
        <w:t xml:space="preserve">Enhanced use of the software product, without additional human resources.  </w:t>
      </w:r>
      <w:r w:rsidRPr="00B8469F">
        <w:rPr>
          <w:rFonts w:cs="Arial"/>
          <w:sz w:val="24"/>
          <w:szCs w:val="24"/>
        </w:rPr>
        <w:t xml:space="preserve">RESCs </w:t>
      </w:r>
      <w:r w:rsidR="00902FA2" w:rsidRPr="00B8469F">
        <w:rPr>
          <w:rFonts w:cs="Arial"/>
          <w:sz w:val="24"/>
          <w:szCs w:val="24"/>
        </w:rPr>
        <w:t xml:space="preserve">could </w:t>
      </w:r>
      <w:r w:rsidRPr="00B8469F">
        <w:rPr>
          <w:rFonts w:cs="Arial"/>
          <w:sz w:val="24"/>
          <w:szCs w:val="24"/>
        </w:rPr>
        <w:t xml:space="preserve">administer the student information system for the districts, utilizing staff with a high level of expertise in the software product. Doing so would free up school personnel resources, eliminating the need for each district to pay for staff to maintain and provide reports to the Connecticut State Department of Education. Under a regionalized management and support model, districts would benefit from making full use of the system’s capabilities.  </w:t>
      </w:r>
    </w:p>
    <w:p w:rsidR="00D464D3" w:rsidRPr="00B8469F" w:rsidRDefault="00D464D3" w:rsidP="00B8469F">
      <w:pPr>
        <w:pStyle w:val="ListParagraph"/>
        <w:numPr>
          <w:ilvl w:val="0"/>
          <w:numId w:val="43"/>
        </w:numPr>
        <w:spacing w:after="0" w:line="240" w:lineRule="auto"/>
        <w:rPr>
          <w:rFonts w:cs="Arial"/>
          <w:sz w:val="24"/>
          <w:szCs w:val="24"/>
        </w:rPr>
      </w:pPr>
      <w:r w:rsidRPr="00B8469F">
        <w:rPr>
          <w:rFonts w:cs="Arial"/>
          <w:i/>
          <w:sz w:val="24"/>
          <w:szCs w:val="24"/>
        </w:rPr>
        <w:t>Support for regional planning.</w:t>
      </w:r>
      <w:r w:rsidRPr="00B8469F">
        <w:rPr>
          <w:rFonts w:cs="Arial"/>
          <w:sz w:val="24"/>
          <w:szCs w:val="24"/>
        </w:rPr>
        <w:t xml:space="preserve">  A regional administration of student information system would support regional planning for programs and services such as transportation, English language learners, and special education, resulting in coordinated, high quality services at a lower cost.</w:t>
      </w:r>
    </w:p>
    <w:p w:rsidR="00D464D3" w:rsidRPr="00D464D3" w:rsidRDefault="00D464D3" w:rsidP="00D464D3">
      <w:pPr>
        <w:spacing w:after="0" w:line="240" w:lineRule="auto"/>
        <w:ind w:left="720"/>
        <w:rPr>
          <w:rFonts w:cs="Arial"/>
          <w:sz w:val="24"/>
          <w:szCs w:val="24"/>
        </w:rPr>
      </w:pPr>
    </w:p>
    <w:p w:rsidR="00D464D3" w:rsidRPr="00D464D3" w:rsidRDefault="00D464D3" w:rsidP="00D464D3">
      <w:pPr>
        <w:spacing w:after="0" w:line="240" w:lineRule="auto"/>
        <w:ind w:left="720"/>
        <w:rPr>
          <w:rFonts w:cs="Arial"/>
          <w:sz w:val="24"/>
          <w:szCs w:val="24"/>
        </w:rPr>
      </w:pPr>
      <w:r w:rsidRPr="00D464D3">
        <w:rPr>
          <w:rFonts w:cs="Arial"/>
          <w:sz w:val="24"/>
          <w:szCs w:val="24"/>
        </w:rPr>
        <w:t xml:space="preserve">The utilization of a common student information system in Connecticut’s public schools aligns with the requirement that school districts use a digital individualized education program purchased by the State Department of Education (PA 15-5, Sec. 270), as recommended by the MORE Commission Special Education Subcommittee.  This move toward statewide software purchases will drive down costs, improve reporting, and support shared professional development. </w:t>
      </w:r>
    </w:p>
    <w:p w:rsidR="00D464D3" w:rsidRPr="00D464D3" w:rsidRDefault="00D464D3" w:rsidP="00D464D3">
      <w:pPr>
        <w:spacing w:after="0" w:line="240" w:lineRule="auto"/>
        <w:ind w:left="1080"/>
        <w:contextualSpacing/>
        <w:rPr>
          <w:rFonts w:cs="Arial"/>
          <w:sz w:val="24"/>
          <w:szCs w:val="24"/>
        </w:rPr>
      </w:pPr>
    </w:p>
    <w:p w:rsidR="00D464D3" w:rsidRPr="00D464D3" w:rsidRDefault="00D464D3" w:rsidP="00D464D3">
      <w:pPr>
        <w:spacing w:after="0" w:line="240" w:lineRule="auto"/>
        <w:ind w:left="720"/>
        <w:contextualSpacing/>
        <w:rPr>
          <w:rFonts w:cs="Arial"/>
          <w:sz w:val="24"/>
          <w:szCs w:val="24"/>
        </w:rPr>
      </w:pPr>
    </w:p>
    <w:p w:rsidR="00D464D3" w:rsidRPr="002175E6" w:rsidRDefault="002175E6" w:rsidP="00D464D3">
      <w:pPr>
        <w:keepNext/>
        <w:keepLines/>
        <w:numPr>
          <w:ilvl w:val="0"/>
          <w:numId w:val="35"/>
        </w:numPr>
        <w:spacing w:after="0" w:line="240" w:lineRule="auto"/>
        <w:contextualSpacing/>
        <w:rPr>
          <w:rFonts w:cs="Arial"/>
          <w:b/>
          <w:sz w:val="24"/>
          <w:szCs w:val="24"/>
        </w:rPr>
      </w:pPr>
      <w:r w:rsidRPr="002175E6">
        <w:rPr>
          <w:rFonts w:cs="Arial"/>
          <w:b/>
          <w:sz w:val="24"/>
          <w:szCs w:val="24"/>
        </w:rPr>
        <w:t>Provide incentive funds to facilitate increased sharing of</w:t>
      </w:r>
      <w:r w:rsidR="00D464D3" w:rsidRPr="002175E6">
        <w:rPr>
          <w:rFonts w:cs="Arial"/>
          <w:b/>
          <w:sz w:val="24"/>
          <w:szCs w:val="24"/>
        </w:rPr>
        <w:t xml:space="preserve"> Board of Education and Town Services</w:t>
      </w:r>
    </w:p>
    <w:p w:rsidR="00635428" w:rsidRPr="00F70A43" w:rsidRDefault="00635428" w:rsidP="00D464D3">
      <w:pPr>
        <w:keepNext/>
        <w:keepLines/>
        <w:spacing w:after="0" w:line="240" w:lineRule="auto"/>
        <w:ind w:left="720"/>
        <w:contextualSpacing/>
        <w:rPr>
          <w:rFonts w:cs="Arial"/>
          <w:sz w:val="24"/>
          <w:szCs w:val="24"/>
          <w:highlight w:val="yellow"/>
        </w:rPr>
      </w:pPr>
    </w:p>
    <w:p w:rsidR="00635428" w:rsidRPr="002175E6" w:rsidRDefault="00635428" w:rsidP="00635428">
      <w:pPr>
        <w:spacing w:after="0" w:line="240" w:lineRule="auto"/>
        <w:ind w:left="720"/>
        <w:contextualSpacing/>
        <w:rPr>
          <w:rFonts w:cs="Arial"/>
          <w:b/>
          <w:sz w:val="24"/>
          <w:szCs w:val="24"/>
        </w:rPr>
      </w:pPr>
      <w:r w:rsidRPr="002175E6">
        <w:rPr>
          <w:rFonts w:cs="Arial"/>
          <w:b/>
          <w:sz w:val="24"/>
          <w:szCs w:val="24"/>
        </w:rPr>
        <w:t xml:space="preserve">Action: </w:t>
      </w:r>
      <w:r w:rsidR="00EF699E" w:rsidRPr="002175E6">
        <w:rPr>
          <w:rFonts w:cs="Arial"/>
          <w:b/>
          <w:sz w:val="24"/>
          <w:szCs w:val="24"/>
        </w:rPr>
        <w:t xml:space="preserve">Encourage Councils of Government (COGs) and Regional Educational Service </w:t>
      </w:r>
      <w:r w:rsidR="002175E6" w:rsidRPr="002175E6">
        <w:rPr>
          <w:rFonts w:cs="Arial"/>
          <w:b/>
          <w:sz w:val="24"/>
          <w:szCs w:val="24"/>
        </w:rPr>
        <w:t xml:space="preserve">Centers </w:t>
      </w:r>
      <w:r w:rsidR="00EF699E" w:rsidRPr="002175E6">
        <w:rPr>
          <w:rFonts w:cs="Arial"/>
          <w:b/>
          <w:sz w:val="24"/>
          <w:szCs w:val="24"/>
        </w:rPr>
        <w:t>(RESCs) to facilitate sharing between general government and education</w:t>
      </w:r>
      <w:r w:rsidRPr="002175E6">
        <w:rPr>
          <w:rFonts w:cs="Arial"/>
          <w:b/>
          <w:sz w:val="24"/>
          <w:szCs w:val="24"/>
        </w:rPr>
        <w:t xml:space="preserve"> </w:t>
      </w:r>
      <w:r w:rsidR="00EF699E" w:rsidRPr="002175E6">
        <w:rPr>
          <w:rFonts w:cs="Arial"/>
          <w:b/>
          <w:sz w:val="24"/>
          <w:szCs w:val="24"/>
        </w:rPr>
        <w:t>operations.  Areas such as finance and facilities can be explored for consolidated operations.</w:t>
      </w:r>
    </w:p>
    <w:p w:rsidR="00EF699E" w:rsidRPr="002175E6" w:rsidRDefault="00EF699E" w:rsidP="00635428">
      <w:pPr>
        <w:spacing w:after="0" w:line="240" w:lineRule="auto"/>
        <w:ind w:left="720"/>
        <w:contextualSpacing/>
        <w:rPr>
          <w:rFonts w:cs="Arial"/>
          <w:b/>
          <w:sz w:val="24"/>
          <w:szCs w:val="24"/>
        </w:rPr>
      </w:pPr>
    </w:p>
    <w:p w:rsidR="00EF699E" w:rsidRPr="00EF699E" w:rsidRDefault="00EF699E" w:rsidP="00635428">
      <w:pPr>
        <w:spacing w:after="0" w:line="240" w:lineRule="auto"/>
        <w:ind w:left="720"/>
        <w:contextualSpacing/>
        <w:rPr>
          <w:rFonts w:cs="Arial"/>
          <w:sz w:val="24"/>
          <w:szCs w:val="24"/>
        </w:rPr>
      </w:pPr>
      <w:r w:rsidRPr="002175E6">
        <w:rPr>
          <w:rFonts w:cs="Arial"/>
          <w:sz w:val="24"/>
          <w:szCs w:val="24"/>
        </w:rPr>
        <w:t xml:space="preserve">Many communities wish to explore the potential </w:t>
      </w:r>
      <w:r w:rsidR="00F70A43" w:rsidRPr="002175E6">
        <w:rPr>
          <w:rFonts w:cs="Arial"/>
          <w:sz w:val="24"/>
          <w:szCs w:val="24"/>
        </w:rPr>
        <w:t>of shared</w:t>
      </w:r>
      <w:r w:rsidRPr="002175E6">
        <w:rPr>
          <w:rFonts w:cs="Arial"/>
          <w:sz w:val="24"/>
          <w:szCs w:val="24"/>
        </w:rPr>
        <w:t xml:space="preserve"> town and school operations but lack a neutral facilitator to help them through the discussion.  By involving COGs and RESCs, towns </w:t>
      </w:r>
      <w:r w:rsidR="00DC1899" w:rsidRPr="002175E6">
        <w:rPr>
          <w:rFonts w:cs="Arial"/>
          <w:sz w:val="24"/>
          <w:szCs w:val="24"/>
        </w:rPr>
        <w:t xml:space="preserve">and Boards of Education </w:t>
      </w:r>
      <w:r w:rsidRPr="002175E6">
        <w:rPr>
          <w:rFonts w:cs="Arial"/>
          <w:sz w:val="24"/>
          <w:szCs w:val="24"/>
        </w:rPr>
        <w:t>can be given best practice examples to consider and discuss their options in a facilitated discussion.</w:t>
      </w:r>
    </w:p>
    <w:p w:rsidR="00D464D3" w:rsidRPr="00D464D3" w:rsidRDefault="00D464D3" w:rsidP="00D464D3">
      <w:pPr>
        <w:spacing w:after="0" w:line="240" w:lineRule="auto"/>
        <w:contextualSpacing/>
        <w:rPr>
          <w:rFonts w:cs="Arial"/>
          <w:sz w:val="24"/>
          <w:szCs w:val="24"/>
        </w:rPr>
      </w:pPr>
    </w:p>
    <w:p w:rsidR="00635428" w:rsidRDefault="00D43AF7" w:rsidP="00A616D9">
      <w:pPr>
        <w:pStyle w:val="ListParagraph"/>
        <w:numPr>
          <w:ilvl w:val="0"/>
          <w:numId w:val="35"/>
        </w:numPr>
        <w:spacing w:after="0" w:line="240" w:lineRule="auto"/>
        <w:rPr>
          <w:rFonts w:cs="Arial"/>
          <w:sz w:val="24"/>
          <w:szCs w:val="24"/>
        </w:rPr>
      </w:pPr>
      <w:r w:rsidRPr="00D43AF7">
        <w:rPr>
          <w:rFonts w:cs="Arial"/>
          <w:b/>
          <w:sz w:val="24"/>
          <w:szCs w:val="24"/>
        </w:rPr>
        <w:t>Work with the State Department of Education</w:t>
      </w:r>
      <w:r>
        <w:rPr>
          <w:rFonts w:cs="Arial"/>
          <w:sz w:val="24"/>
          <w:szCs w:val="24"/>
        </w:rPr>
        <w:t xml:space="preserve"> </w:t>
      </w:r>
    </w:p>
    <w:p w:rsidR="00635428" w:rsidRDefault="00635428" w:rsidP="00635428">
      <w:pPr>
        <w:pStyle w:val="ListParagraph"/>
        <w:spacing w:after="0" w:line="240" w:lineRule="auto"/>
        <w:ind w:left="810"/>
        <w:rPr>
          <w:rFonts w:cs="Arial"/>
          <w:sz w:val="24"/>
          <w:szCs w:val="24"/>
        </w:rPr>
      </w:pPr>
    </w:p>
    <w:p w:rsidR="00635428" w:rsidRDefault="00635428" w:rsidP="00635428">
      <w:pPr>
        <w:pStyle w:val="ListParagraph"/>
        <w:spacing w:after="0" w:line="240" w:lineRule="auto"/>
        <w:ind w:left="810"/>
        <w:rPr>
          <w:rFonts w:cs="Arial"/>
          <w:b/>
          <w:sz w:val="24"/>
          <w:szCs w:val="24"/>
        </w:rPr>
      </w:pPr>
      <w:r w:rsidRPr="00635428">
        <w:rPr>
          <w:rFonts w:cs="Arial"/>
          <w:b/>
          <w:sz w:val="24"/>
          <w:szCs w:val="24"/>
        </w:rPr>
        <w:t>Action: Convene a meeting with State Department of Education officials to discuss sharing data.</w:t>
      </w:r>
    </w:p>
    <w:p w:rsidR="00635428" w:rsidRPr="00635428" w:rsidRDefault="00635428" w:rsidP="00635428">
      <w:pPr>
        <w:pStyle w:val="ListParagraph"/>
        <w:spacing w:after="0" w:line="240" w:lineRule="auto"/>
        <w:ind w:left="810"/>
        <w:rPr>
          <w:rFonts w:cs="Arial"/>
          <w:b/>
          <w:sz w:val="24"/>
          <w:szCs w:val="24"/>
        </w:rPr>
      </w:pPr>
    </w:p>
    <w:p w:rsidR="00D43AF7" w:rsidRDefault="002175E6" w:rsidP="00635428">
      <w:pPr>
        <w:pStyle w:val="ListParagraph"/>
        <w:spacing w:after="0" w:line="240" w:lineRule="auto"/>
        <w:ind w:left="810"/>
        <w:rPr>
          <w:rFonts w:cs="Arial"/>
          <w:sz w:val="24"/>
          <w:szCs w:val="24"/>
        </w:rPr>
      </w:pPr>
      <w:r>
        <w:rPr>
          <w:rFonts w:cs="Arial"/>
          <w:sz w:val="24"/>
          <w:szCs w:val="24"/>
        </w:rPr>
        <w:t xml:space="preserve">Begin a dialogue to discuss ways the state Department of Education could support regional collaboration and the sharing of data through RESCs in order to facilitate initiatives.  For example, non-identifiable data could be available to the RESCs in order to evaluate shared special education transportation route options among school districts.  </w:t>
      </w:r>
    </w:p>
    <w:p w:rsidR="00A616D9" w:rsidRPr="00A616D9" w:rsidRDefault="00A616D9" w:rsidP="005B74D4">
      <w:pPr>
        <w:spacing w:after="0" w:line="240" w:lineRule="auto"/>
        <w:rPr>
          <w:rFonts w:cs="Arial"/>
          <w:b/>
          <w:sz w:val="24"/>
          <w:szCs w:val="24"/>
        </w:rPr>
      </w:pPr>
    </w:p>
    <w:p w:rsidR="00635428" w:rsidRDefault="00335D71" w:rsidP="00A616D9">
      <w:pPr>
        <w:pStyle w:val="ListParagraph"/>
        <w:numPr>
          <w:ilvl w:val="0"/>
          <w:numId w:val="35"/>
        </w:numPr>
        <w:spacing w:after="0" w:line="240" w:lineRule="auto"/>
        <w:rPr>
          <w:rFonts w:cs="Arial"/>
          <w:sz w:val="24"/>
          <w:szCs w:val="24"/>
        </w:rPr>
      </w:pPr>
      <w:r w:rsidRPr="00B56E10">
        <w:rPr>
          <w:rFonts w:cs="Arial"/>
          <w:b/>
          <w:sz w:val="24"/>
          <w:szCs w:val="24"/>
        </w:rPr>
        <w:t>Technology Contracts</w:t>
      </w:r>
      <w:r w:rsidRPr="008C5FF6">
        <w:rPr>
          <w:rFonts w:cs="Arial"/>
          <w:sz w:val="24"/>
          <w:szCs w:val="24"/>
        </w:rPr>
        <w:t xml:space="preserve">: </w:t>
      </w:r>
    </w:p>
    <w:p w:rsidR="00635428" w:rsidRDefault="00635428" w:rsidP="00635428">
      <w:pPr>
        <w:pStyle w:val="ListParagraph"/>
        <w:spacing w:after="0" w:line="240" w:lineRule="auto"/>
        <w:ind w:left="810"/>
        <w:rPr>
          <w:rFonts w:cs="Arial"/>
          <w:sz w:val="24"/>
          <w:szCs w:val="24"/>
        </w:rPr>
      </w:pPr>
    </w:p>
    <w:p w:rsidR="00635428" w:rsidRDefault="00635428" w:rsidP="00635428">
      <w:pPr>
        <w:spacing w:after="0" w:line="240" w:lineRule="auto"/>
        <w:ind w:left="720"/>
        <w:rPr>
          <w:rFonts w:cs="Arial"/>
          <w:b/>
          <w:sz w:val="24"/>
          <w:szCs w:val="24"/>
        </w:rPr>
      </w:pPr>
      <w:r w:rsidRPr="00A616D9">
        <w:rPr>
          <w:rFonts w:cs="Arial"/>
          <w:b/>
          <w:sz w:val="24"/>
          <w:szCs w:val="24"/>
        </w:rPr>
        <w:t xml:space="preserve">Action:  </w:t>
      </w:r>
      <w:r>
        <w:rPr>
          <w:rFonts w:cs="Arial"/>
          <w:b/>
          <w:sz w:val="24"/>
          <w:szCs w:val="24"/>
        </w:rPr>
        <w:t xml:space="preserve">Request that the Government Administration and Elections Committee to encourage a state compilation of technology contracts and all contracts so they are </w:t>
      </w:r>
      <w:r w:rsidRPr="000C032A">
        <w:rPr>
          <w:rFonts w:cs="Arial"/>
          <w:b/>
          <w:sz w:val="24"/>
          <w:szCs w:val="24"/>
        </w:rPr>
        <w:t xml:space="preserve">readily </w:t>
      </w:r>
      <w:r>
        <w:rPr>
          <w:rFonts w:cs="Arial"/>
          <w:b/>
          <w:sz w:val="24"/>
          <w:szCs w:val="24"/>
        </w:rPr>
        <w:t>accessible to political subdivisions.</w:t>
      </w:r>
    </w:p>
    <w:p w:rsidR="00635428" w:rsidRDefault="00635428" w:rsidP="00635428">
      <w:pPr>
        <w:pStyle w:val="ListParagraph"/>
        <w:spacing w:after="0" w:line="240" w:lineRule="auto"/>
        <w:ind w:left="810"/>
        <w:rPr>
          <w:rFonts w:cs="Arial"/>
          <w:sz w:val="24"/>
          <w:szCs w:val="24"/>
        </w:rPr>
      </w:pPr>
    </w:p>
    <w:p w:rsidR="00A616D9" w:rsidRDefault="00335D71" w:rsidP="00635428">
      <w:pPr>
        <w:pStyle w:val="ListParagraph"/>
        <w:spacing w:after="0" w:line="240" w:lineRule="auto"/>
        <w:rPr>
          <w:rFonts w:cs="Arial"/>
          <w:sz w:val="24"/>
          <w:szCs w:val="24"/>
        </w:rPr>
      </w:pPr>
      <w:r w:rsidRPr="008C5FF6">
        <w:rPr>
          <w:rFonts w:cs="Arial"/>
          <w:sz w:val="24"/>
          <w:szCs w:val="24"/>
        </w:rPr>
        <w:t>There is a need for towns to know what contracts from the state are available for political subdivision use</w:t>
      </w:r>
      <w:r w:rsidR="00A616D9">
        <w:rPr>
          <w:rFonts w:cs="Arial"/>
          <w:sz w:val="24"/>
          <w:szCs w:val="24"/>
        </w:rPr>
        <w:t>.</w:t>
      </w:r>
    </w:p>
    <w:p w:rsidR="00A616D9" w:rsidRDefault="00A616D9" w:rsidP="00A616D9">
      <w:pPr>
        <w:pStyle w:val="ListParagraph"/>
        <w:spacing w:after="0" w:line="240" w:lineRule="auto"/>
        <w:rPr>
          <w:rFonts w:cs="Arial"/>
          <w:sz w:val="24"/>
          <w:szCs w:val="24"/>
        </w:rPr>
      </w:pPr>
    </w:p>
    <w:p w:rsidR="00635428" w:rsidRPr="00635428" w:rsidRDefault="00BE0EAE" w:rsidP="006A3E7B">
      <w:pPr>
        <w:pStyle w:val="ListParagraph"/>
        <w:numPr>
          <w:ilvl w:val="0"/>
          <w:numId w:val="35"/>
        </w:numPr>
        <w:spacing w:after="0" w:line="240" w:lineRule="auto"/>
        <w:rPr>
          <w:rFonts w:cs="Arial"/>
          <w:sz w:val="24"/>
          <w:szCs w:val="24"/>
        </w:rPr>
      </w:pPr>
      <w:r w:rsidRPr="00C16371">
        <w:rPr>
          <w:rFonts w:cs="Arial"/>
          <w:b/>
          <w:sz w:val="24"/>
          <w:szCs w:val="24"/>
        </w:rPr>
        <w:t>Gigabit Initiative</w:t>
      </w:r>
      <w:r w:rsidR="00C16371" w:rsidRPr="00C16371">
        <w:rPr>
          <w:rFonts w:cs="Arial"/>
          <w:b/>
          <w:sz w:val="24"/>
          <w:szCs w:val="24"/>
        </w:rPr>
        <w:t xml:space="preserve">: </w:t>
      </w:r>
    </w:p>
    <w:p w:rsidR="00635428" w:rsidRPr="00635428" w:rsidRDefault="00635428" w:rsidP="00635428">
      <w:pPr>
        <w:pStyle w:val="ListParagraph"/>
        <w:spacing w:after="0" w:line="240" w:lineRule="auto"/>
        <w:ind w:left="810"/>
        <w:rPr>
          <w:rFonts w:cs="Arial"/>
          <w:sz w:val="24"/>
          <w:szCs w:val="24"/>
        </w:rPr>
      </w:pPr>
    </w:p>
    <w:p w:rsidR="00635428" w:rsidRPr="00A616D9" w:rsidRDefault="00635428" w:rsidP="00635428">
      <w:pPr>
        <w:spacing w:after="0" w:line="240" w:lineRule="auto"/>
        <w:ind w:left="720"/>
        <w:rPr>
          <w:rFonts w:cs="Arial"/>
          <w:b/>
          <w:sz w:val="24"/>
          <w:szCs w:val="24"/>
        </w:rPr>
      </w:pPr>
      <w:r w:rsidRPr="00A616D9">
        <w:rPr>
          <w:rFonts w:cs="Arial"/>
          <w:b/>
          <w:sz w:val="24"/>
          <w:szCs w:val="24"/>
        </w:rPr>
        <w:t xml:space="preserve">Action: </w:t>
      </w:r>
      <w:r>
        <w:rPr>
          <w:rFonts w:cs="Arial"/>
          <w:b/>
          <w:sz w:val="24"/>
          <w:szCs w:val="24"/>
        </w:rPr>
        <w:t xml:space="preserve">Invite representatives from the new Office of State Broadband to discuss a funding mechanism and the roles and responsibilities of municipalities in the statewide availability of </w:t>
      </w:r>
      <w:r>
        <w:rPr>
          <w:rFonts w:cs="Arial"/>
          <w:b/>
          <w:sz w:val="24"/>
          <w:szCs w:val="24"/>
        </w:rPr>
        <w:lastRenderedPageBreak/>
        <w:t xml:space="preserve">broadband access.  Request the Office of Consumer Counsel and the Office of State Broadband within the Office of Consumer Counsel and </w:t>
      </w:r>
      <w:r w:rsidRPr="000C032A">
        <w:rPr>
          <w:rFonts w:cs="Arial"/>
          <w:b/>
          <w:sz w:val="24"/>
          <w:szCs w:val="24"/>
        </w:rPr>
        <w:t>Municipal Opportunities and Regional Efficiencies (MORE)</w:t>
      </w:r>
      <w:r>
        <w:rPr>
          <w:rFonts w:cs="Arial"/>
          <w:b/>
          <w:sz w:val="24"/>
          <w:szCs w:val="24"/>
        </w:rPr>
        <w:t xml:space="preserve"> </w:t>
      </w:r>
      <w:r w:rsidR="00DA26CD">
        <w:rPr>
          <w:rFonts w:cs="Arial"/>
          <w:b/>
          <w:sz w:val="24"/>
          <w:szCs w:val="24"/>
        </w:rPr>
        <w:t>C</w:t>
      </w:r>
      <w:r>
        <w:rPr>
          <w:rFonts w:cs="Arial"/>
          <w:b/>
          <w:sz w:val="24"/>
          <w:szCs w:val="24"/>
        </w:rPr>
        <w:t xml:space="preserve">ommission to report annually to the legislative Committee of cognizance outlining the roles and responsibilities of municipalities.  </w:t>
      </w:r>
    </w:p>
    <w:p w:rsidR="00635428" w:rsidRDefault="00635428" w:rsidP="00635428">
      <w:pPr>
        <w:pStyle w:val="ListParagraph"/>
        <w:spacing w:after="0" w:line="240" w:lineRule="auto"/>
        <w:ind w:left="810"/>
        <w:rPr>
          <w:rFonts w:cs="Arial"/>
          <w:sz w:val="24"/>
          <w:szCs w:val="24"/>
        </w:rPr>
      </w:pPr>
    </w:p>
    <w:p w:rsidR="00BE0EAE" w:rsidRPr="00C16371" w:rsidRDefault="00BE0EAE" w:rsidP="00635428">
      <w:pPr>
        <w:pStyle w:val="ListParagraph"/>
        <w:spacing w:after="0" w:line="240" w:lineRule="auto"/>
        <w:rPr>
          <w:rFonts w:cs="Arial"/>
          <w:sz w:val="24"/>
          <w:szCs w:val="24"/>
        </w:rPr>
      </w:pPr>
      <w:r w:rsidRPr="00C16371">
        <w:rPr>
          <w:rFonts w:cs="Arial"/>
          <w:sz w:val="24"/>
          <w:szCs w:val="24"/>
        </w:rPr>
        <w:t xml:space="preserve">Coordinate with the Office of Consumer Counsel </w:t>
      </w:r>
      <w:r w:rsidR="00340B46" w:rsidRPr="00C16371">
        <w:rPr>
          <w:rFonts w:cs="Arial"/>
          <w:sz w:val="24"/>
          <w:szCs w:val="24"/>
        </w:rPr>
        <w:t>and the new Office of State Broadband within the Office of Consumer Counsel (established under Section 429 of the</w:t>
      </w:r>
      <w:r w:rsidR="00A616D9" w:rsidRPr="00C16371">
        <w:rPr>
          <w:rFonts w:cs="Arial"/>
          <w:sz w:val="24"/>
          <w:szCs w:val="24"/>
        </w:rPr>
        <w:t xml:space="preserve"> </w:t>
      </w:r>
      <w:r w:rsidR="00340B46" w:rsidRPr="00C16371">
        <w:rPr>
          <w:rFonts w:cs="Arial"/>
          <w:sz w:val="24"/>
          <w:szCs w:val="24"/>
        </w:rPr>
        <w:t xml:space="preserve">Senate Bill 1502) which is required to facilitate the availability of broadband access and the adoption of ultra-high-speed gigabit capable broadband networks. The Commission should help formulate a funding mechanism and to identify the roles of responsibilities for municipalities. </w:t>
      </w:r>
    </w:p>
    <w:p w:rsidR="00A616D9" w:rsidRDefault="00A616D9" w:rsidP="00635428">
      <w:pPr>
        <w:spacing w:after="0" w:line="240" w:lineRule="auto"/>
        <w:ind w:left="270"/>
        <w:rPr>
          <w:rFonts w:cs="Arial"/>
          <w:sz w:val="24"/>
          <w:szCs w:val="24"/>
        </w:rPr>
      </w:pPr>
    </w:p>
    <w:p w:rsidR="002175E6" w:rsidRDefault="002175E6" w:rsidP="00635428">
      <w:pPr>
        <w:spacing w:after="0" w:line="240" w:lineRule="auto"/>
        <w:ind w:left="270"/>
        <w:rPr>
          <w:rFonts w:cs="Arial"/>
          <w:sz w:val="24"/>
          <w:szCs w:val="24"/>
        </w:rPr>
      </w:pPr>
      <w:r>
        <w:rPr>
          <w:rFonts w:cs="Arial"/>
          <w:sz w:val="24"/>
          <w:szCs w:val="24"/>
        </w:rPr>
        <w:t>Items for further discussion:</w:t>
      </w:r>
    </w:p>
    <w:p w:rsidR="002175E6" w:rsidRDefault="002175E6" w:rsidP="002175E6">
      <w:pPr>
        <w:pStyle w:val="ListParagraph"/>
        <w:numPr>
          <w:ilvl w:val="0"/>
          <w:numId w:val="44"/>
        </w:numPr>
        <w:spacing w:after="0" w:line="240" w:lineRule="auto"/>
        <w:rPr>
          <w:rFonts w:cs="Arial"/>
          <w:sz w:val="24"/>
          <w:szCs w:val="24"/>
        </w:rPr>
      </w:pPr>
      <w:r>
        <w:rPr>
          <w:rFonts w:cs="Arial"/>
          <w:sz w:val="24"/>
          <w:szCs w:val="24"/>
        </w:rPr>
        <w:t>Coordination with the state Department of Education Master Plan for Education.</w:t>
      </w:r>
    </w:p>
    <w:p w:rsidR="002175E6" w:rsidRPr="002175E6" w:rsidRDefault="002175E6" w:rsidP="002175E6">
      <w:pPr>
        <w:pStyle w:val="ListParagraph"/>
        <w:numPr>
          <w:ilvl w:val="0"/>
          <w:numId w:val="44"/>
        </w:numPr>
        <w:spacing w:after="0" w:line="240" w:lineRule="auto"/>
        <w:rPr>
          <w:rFonts w:cs="Arial"/>
          <w:sz w:val="24"/>
          <w:szCs w:val="24"/>
        </w:rPr>
      </w:pPr>
      <w:r>
        <w:rPr>
          <w:rFonts w:cs="Arial"/>
          <w:sz w:val="24"/>
          <w:szCs w:val="24"/>
        </w:rPr>
        <w:t>Addressing the digital divide to enable internet ac</w:t>
      </w:r>
      <w:r w:rsidR="00AF0D73">
        <w:rPr>
          <w:rFonts w:cs="Arial"/>
          <w:sz w:val="24"/>
          <w:szCs w:val="24"/>
        </w:rPr>
        <w:t xml:space="preserve">cess from home for lower income residents in order to access online education and town services. </w:t>
      </w:r>
      <w:r>
        <w:rPr>
          <w:rFonts w:cs="Arial"/>
          <w:sz w:val="24"/>
          <w:szCs w:val="24"/>
        </w:rPr>
        <w:t xml:space="preserve"> </w:t>
      </w:r>
    </w:p>
    <w:sectPr w:rsidR="002175E6" w:rsidRPr="002175E6" w:rsidSect="0097001C">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EF3" w:rsidRDefault="005E3EF3" w:rsidP="00AB3762">
      <w:pPr>
        <w:spacing w:after="0" w:line="240" w:lineRule="auto"/>
      </w:pPr>
      <w:r>
        <w:separator/>
      </w:r>
    </w:p>
  </w:endnote>
  <w:endnote w:type="continuationSeparator" w:id="0">
    <w:p w:rsidR="005E3EF3" w:rsidRDefault="005E3EF3" w:rsidP="00AB3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0F" w:rsidRDefault="00B36F0F">
    <w:pPr>
      <w:pStyle w:val="Footer"/>
      <w:jc w:val="center"/>
    </w:pPr>
    <w:r>
      <w:fldChar w:fldCharType="begin"/>
    </w:r>
    <w:r>
      <w:instrText xml:space="preserve"> PAGE   \* MERGEFORMAT </w:instrText>
    </w:r>
    <w:r>
      <w:fldChar w:fldCharType="separate"/>
    </w:r>
    <w:r w:rsidR="00AF0D73">
      <w:rPr>
        <w:noProof/>
      </w:rPr>
      <w:t>2</w:t>
    </w:r>
    <w:r>
      <w:rPr>
        <w:noProof/>
      </w:rPr>
      <w:fldChar w:fldCharType="end"/>
    </w:r>
  </w:p>
  <w:p w:rsidR="00B36F0F" w:rsidRDefault="00B36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EF3" w:rsidRDefault="005E3EF3" w:rsidP="00AB3762">
      <w:pPr>
        <w:spacing w:after="0" w:line="240" w:lineRule="auto"/>
      </w:pPr>
      <w:r>
        <w:separator/>
      </w:r>
    </w:p>
  </w:footnote>
  <w:footnote w:type="continuationSeparator" w:id="0">
    <w:p w:rsidR="005E3EF3" w:rsidRDefault="005E3EF3" w:rsidP="00AB3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CCF"/>
    <w:multiLevelType w:val="hybridMultilevel"/>
    <w:tmpl w:val="6DF4B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CB03B1"/>
    <w:multiLevelType w:val="hybridMultilevel"/>
    <w:tmpl w:val="A47A64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8A5019"/>
    <w:multiLevelType w:val="hybridMultilevel"/>
    <w:tmpl w:val="2EA035F8"/>
    <w:lvl w:ilvl="0" w:tplc="BC664918">
      <w:start w:val="1"/>
      <w:numFmt w:val="decimal"/>
      <w:lvlText w:val="%1."/>
      <w:lvlJc w:val="left"/>
      <w:pPr>
        <w:ind w:left="720" w:hanging="360"/>
      </w:pPr>
      <w:rPr>
        <w:rFonts w:ascii="Calibri" w:eastAsia="Calibri" w:hAnsi="Calibri" w:cs="GillSan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007FE"/>
    <w:multiLevelType w:val="hybridMultilevel"/>
    <w:tmpl w:val="9432B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D10FA9"/>
    <w:multiLevelType w:val="hybridMultilevel"/>
    <w:tmpl w:val="DBE44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B6799"/>
    <w:multiLevelType w:val="hybridMultilevel"/>
    <w:tmpl w:val="27D8E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A1F5A"/>
    <w:multiLevelType w:val="hybridMultilevel"/>
    <w:tmpl w:val="002AA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570B9"/>
    <w:multiLevelType w:val="hybridMultilevel"/>
    <w:tmpl w:val="89F88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764B63"/>
    <w:multiLevelType w:val="hybridMultilevel"/>
    <w:tmpl w:val="93CC9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F73653"/>
    <w:multiLevelType w:val="hybridMultilevel"/>
    <w:tmpl w:val="B42699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4D3004"/>
    <w:multiLevelType w:val="hybridMultilevel"/>
    <w:tmpl w:val="F8346C52"/>
    <w:lvl w:ilvl="0" w:tplc="4B16D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AE5034"/>
    <w:multiLevelType w:val="hybridMultilevel"/>
    <w:tmpl w:val="816A58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15E91"/>
    <w:multiLevelType w:val="hybridMultilevel"/>
    <w:tmpl w:val="382658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F04FC"/>
    <w:multiLevelType w:val="hybridMultilevel"/>
    <w:tmpl w:val="8DF809BA"/>
    <w:lvl w:ilvl="0" w:tplc="AF6686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1D3AB8"/>
    <w:multiLevelType w:val="hybridMultilevel"/>
    <w:tmpl w:val="106440FA"/>
    <w:lvl w:ilvl="0" w:tplc="169A89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32BD3"/>
    <w:multiLevelType w:val="hybridMultilevel"/>
    <w:tmpl w:val="1C484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B6379"/>
    <w:multiLevelType w:val="hybridMultilevel"/>
    <w:tmpl w:val="CD86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AD2192"/>
    <w:multiLevelType w:val="hybridMultilevel"/>
    <w:tmpl w:val="3C48145A"/>
    <w:lvl w:ilvl="0" w:tplc="169A89C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DF7FD3"/>
    <w:multiLevelType w:val="hybridMultilevel"/>
    <w:tmpl w:val="2494B4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3FB118D5"/>
    <w:multiLevelType w:val="hybridMultilevel"/>
    <w:tmpl w:val="1B90D54E"/>
    <w:lvl w:ilvl="0" w:tplc="47CCADDA">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CE7EF3"/>
    <w:multiLevelType w:val="hybridMultilevel"/>
    <w:tmpl w:val="03C85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ABB391A"/>
    <w:multiLevelType w:val="hybridMultilevel"/>
    <w:tmpl w:val="D63AF2C2"/>
    <w:lvl w:ilvl="0" w:tplc="0409000D">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B0E0E11"/>
    <w:multiLevelType w:val="hybridMultilevel"/>
    <w:tmpl w:val="CD6067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C42F0F"/>
    <w:multiLevelType w:val="hybridMultilevel"/>
    <w:tmpl w:val="2D36F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8926B2"/>
    <w:multiLevelType w:val="hybridMultilevel"/>
    <w:tmpl w:val="3030E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231525"/>
    <w:multiLevelType w:val="hybridMultilevel"/>
    <w:tmpl w:val="D4E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85153"/>
    <w:multiLevelType w:val="hybridMultilevel"/>
    <w:tmpl w:val="7E1A1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C23DD5"/>
    <w:multiLevelType w:val="hybridMultilevel"/>
    <w:tmpl w:val="BA6E958C"/>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8">
    <w:nsid w:val="58DF38C6"/>
    <w:multiLevelType w:val="hybridMultilevel"/>
    <w:tmpl w:val="3D8485F4"/>
    <w:lvl w:ilvl="0" w:tplc="D1CE55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894E03"/>
    <w:multiLevelType w:val="hybridMultilevel"/>
    <w:tmpl w:val="13E24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147C85"/>
    <w:multiLevelType w:val="hybridMultilevel"/>
    <w:tmpl w:val="E27AE152"/>
    <w:lvl w:ilvl="0" w:tplc="169A89C4">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F034A2"/>
    <w:multiLevelType w:val="hybridMultilevel"/>
    <w:tmpl w:val="1C484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1E2DC2"/>
    <w:multiLevelType w:val="hybridMultilevel"/>
    <w:tmpl w:val="4BAA3EB4"/>
    <w:lvl w:ilvl="0" w:tplc="EC340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4F619A"/>
    <w:multiLevelType w:val="hybridMultilevel"/>
    <w:tmpl w:val="75CED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49255A"/>
    <w:multiLevelType w:val="hybridMultilevel"/>
    <w:tmpl w:val="2B9680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3A45205"/>
    <w:multiLevelType w:val="hybridMultilevel"/>
    <w:tmpl w:val="AEACA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A60603"/>
    <w:multiLevelType w:val="hybridMultilevel"/>
    <w:tmpl w:val="154C4F04"/>
    <w:lvl w:ilvl="0" w:tplc="7854C6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3441AA"/>
    <w:multiLevelType w:val="hybridMultilevel"/>
    <w:tmpl w:val="AA7271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39650D"/>
    <w:multiLevelType w:val="hybridMultilevel"/>
    <w:tmpl w:val="C5BA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BE64CB"/>
    <w:multiLevelType w:val="hybridMultilevel"/>
    <w:tmpl w:val="10469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37B0A63"/>
    <w:multiLevelType w:val="hybridMultilevel"/>
    <w:tmpl w:val="34F63F66"/>
    <w:lvl w:ilvl="0" w:tplc="E3FCCB7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53B1F15"/>
    <w:multiLevelType w:val="hybridMultilevel"/>
    <w:tmpl w:val="8DF809BA"/>
    <w:lvl w:ilvl="0" w:tplc="AF6686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084DE0"/>
    <w:multiLevelType w:val="hybridMultilevel"/>
    <w:tmpl w:val="216C7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0877BD"/>
    <w:multiLevelType w:val="hybridMultilevel"/>
    <w:tmpl w:val="CEA67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4"/>
  </w:num>
  <w:num w:numId="3">
    <w:abstractNumId w:val="32"/>
  </w:num>
  <w:num w:numId="4">
    <w:abstractNumId w:val="10"/>
  </w:num>
  <w:num w:numId="5">
    <w:abstractNumId w:val="28"/>
  </w:num>
  <w:num w:numId="6">
    <w:abstractNumId w:val="19"/>
  </w:num>
  <w:num w:numId="7">
    <w:abstractNumId w:val="33"/>
  </w:num>
  <w:num w:numId="8">
    <w:abstractNumId w:val="9"/>
  </w:num>
  <w:num w:numId="9">
    <w:abstractNumId w:val="37"/>
  </w:num>
  <w:num w:numId="10">
    <w:abstractNumId w:val="15"/>
  </w:num>
  <w:num w:numId="11">
    <w:abstractNumId w:val="43"/>
  </w:num>
  <w:num w:numId="12">
    <w:abstractNumId w:val="12"/>
  </w:num>
  <w:num w:numId="13">
    <w:abstractNumId w:val="11"/>
  </w:num>
  <w:num w:numId="14">
    <w:abstractNumId w:val="26"/>
  </w:num>
  <w:num w:numId="15">
    <w:abstractNumId w:val="42"/>
  </w:num>
  <w:num w:numId="16">
    <w:abstractNumId w:val="16"/>
  </w:num>
  <w:num w:numId="17">
    <w:abstractNumId w:val="0"/>
  </w:num>
  <w:num w:numId="18">
    <w:abstractNumId w:val="38"/>
  </w:num>
  <w:num w:numId="19">
    <w:abstractNumId w:val="2"/>
  </w:num>
  <w:num w:numId="20">
    <w:abstractNumId w:val="22"/>
  </w:num>
  <w:num w:numId="21">
    <w:abstractNumId w:val="7"/>
  </w:num>
  <w:num w:numId="22">
    <w:abstractNumId w:val="4"/>
  </w:num>
  <w:num w:numId="23">
    <w:abstractNumId w:val="5"/>
  </w:num>
  <w:num w:numId="24">
    <w:abstractNumId w:val="41"/>
  </w:num>
  <w:num w:numId="25">
    <w:abstractNumId w:val="13"/>
  </w:num>
  <w:num w:numId="26">
    <w:abstractNumId w:val="1"/>
  </w:num>
  <w:num w:numId="27">
    <w:abstractNumId w:val="25"/>
  </w:num>
  <w:num w:numId="28">
    <w:abstractNumId w:val="23"/>
  </w:num>
  <w:num w:numId="29">
    <w:abstractNumId w:val="8"/>
  </w:num>
  <w:num w:numId="30">
    <w:abstractNumId w:val="40"/>
  </w:num>
  <w:num w:numId="31">
    <w:abstractNumId w:val="35"/>
  </w:num>
  <w:num w:numId="32">
    <w:abstractNumId w:val="29"/>
  </w:num>
  <w:num w:numId="33">
    <w:abstractNumId w:val="34"/>
  </w:num>
  <w:num w:numId="34">
    <w:abstractNumId w:val="27"/>
  </w:num>
  <w:num w:numId="35">
    <w:abstractNumId w:val="30"/>
  </w:num>
  <w:num w:numId="36">
    <w:abstractNumId w:val="14"/>
  </w:num>
  <w:num w:numId="37">
    <w:abstractNumId w:val="36"/>
  </w:num>
  <w:num w:numId="38">
    <w:abstractNumId w:val="20"/>
  </w:num>
  <w:num w:numId="39">
    <w:abstractNumId w:val="17"/>
  </w:num>
  <w:num w:numId="40">
    <w:abstractNumId w:val="21"/>
  </w:num>
  <w:num w:numId="41">
    <w:abstractNumId w:val="3"/>
  </w:num>
  <w:num w:numId="42">
    <w:abstractNumId w:val="39"/>
  </w:num>
  <w:num w:numId="43">
    <w:abstractNumId w:val="6"/>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2B"/>
    <w:rsid w:val="00000983"/>
    <w:rsid w:val="00005548"/>
    <w:rsid w:val="000060D0"/>
    <w:rsid w:val="00017058"/>
    <w:rsid w:val="000205C5"/>
    <w:rsid w:val="0002696B"/>
    <w:rsid w:val="00037E6E"/>
    <w:rsid w:val="00047D6B"/>
    <w:rsid w:val="000521ED"/>
    <w:rsid w:val="00054C6F"/>
    <w:rsid w:val="00057AB6"/>
    <w:rsid w:val="00057F3C"/>
    <w:rsid w:val="0006784E"/>
    <w:rsid w:val="00072C37"/>
    <w:rsid w:val="00077718"/>
    <w:rsid w:val="00085E4A"/>
    <w:rsid w:val="000A38F0"/>
    <w:rsid w:val="000A3CA0"/>
    <w:rsid w:val="000B13F4"/>
    <w:rsid w:val="000B456E"/>
    <w:rsid w:val="000B6C7D"/>
    <w:rsid w:val="000C032A"/>
    <w:rsid w:val="000D0267"/>
    <w:rsid w:val="000D6A16"/>
    <w:rsid w:val="000E02D4"/>
    <w:rsid w:val="000E5572"/>
    <w:rsid w:val="001251F8"/>
    <w:rsid w:val="00125F3D"/>
    <w:rsid w:val="001318AE"/>
    <w:rsid w:val="00140637"/>
    <w:rsid w:val="00140D81"/>
    <w:rsid w:val="0016458A"/>
    <w:rsid w:val="00166428"/>
    <w:rsid w:val="001738BF"/>
    <w:rsid w:val="0017483E"/>
    <w:rsid w:val="001A29F0"/>
    <w:rsid w:val="001A2C88"/>
    <w:rsid w:val="001A4788"/>
    <w:rsid w:val="001A6A96"/>
    <w:rsid w:val="001B15FC"/>
    <w:rsid w:val="001B346F"/>
    <w:rsid w:val="001B4736"/>
    <w:rsid w:val="001C6237"/>
    <w:rsid w:val="001C7E6C"/>
    <w:rsid w:val="001D1DC5"/>
    <w:rsid w:val="001D586F"/>
    <w:rsid w:val="001D680C"/>
    <w:rsid w:val="001D6D5B"/>
    <w:rsid w:val="001E20B5"/>
    <w:rsid w:val="001E4E94"/>
    <w:rsid w:val="001E542E"/>
    <w:rsid w:val="001F74D5"/>
    <w:rsid w:val="001F78DD"/>
    <w:rsid w:val="00202E8B"/>
    <w:rsid w:val="002175E6"/>
    <w:rsid w:val="002521E9"/>
    <w:rsid w:val="00260BF0"/>
    <w:rsid w:val="00260D8B"/>
    <w:rsid w:val="00270F3D"/>
    <w:rsid w:val="00284CC7"/>
    <w:rsid w:val="00285959"/>
    <w:rsid w:val="00286692"/>
    <w:rsid w:val="00293AE0"/>
    <w:rsid w:val="002A5DEC"/>
    <w:rsid w:val="002A6611"/>
    <w:rsid w:val="002B2AC1"/>
    <w:rsid w:val="002B560F"/>
    <w:rsid w:val="002F0DFB"/>
    <w:rsid w:val="002F3DD8"/>
    <w:rsid w:val="00323D40"/>
    <w:rsid w:val="003314AC"/>
    <w:rsid w:val="00335D71"/>
    <w:rsid w:val="003376E6"/>
    <w:rsid w:val="00340B46"/>
    <w:rsid w:val="003530A3"/>
    <w:rsid w:val="00363CF7"/>
    <w:rsid w:val="00380CF5"/>
    <w:rsid w:val="003924F3"/>
    <w:rsid w:val="003A438B"/>
    <w:rsid w:val="003C35A9"/>
    <w:rsid w:val="003D41E6"/>
    <w:rsid w:val="003D5BFD"/>
    <w:rsid w:val="003E1FF2"/>
    <w:rsid w:val="003F26F4"/>
    <w:rsid w:val="003F5DFD"/>
    <w:rsid w:val="004040A3"/>
    <w:rsid w:val="00404BE5"/>
    <w:rsid w:val="00410E68"/>
    <w:rsid w:val="00412048"/>
    <w:rsid w:val="00414438"/>
    <w:rsid w:val="004209C1"/>
    <w:rsid w:val="00447FC8"/>
    <w:rsid w:val="00472FD2"/>
    <w:rsid w:val="0047306F"/>
    <w:rsid w:val="00485082"/>
    <w:rsid w:val="00490F39"/>
    <w:rsid w:val="00494244"/>
    <w:rsid w:val="004964F8"/>
    <w:rsid w:val="004C69CC"/>
    <w:rsid w:val="004D6F26"/>
    <w:rsid w:val="004E5C2B"/>
    <w:rsid w:val="00504C27"/>
    <w:rsid w:val="00506BF3"/>
    <w:rsid w:val="00512EFA"/>
    <w:rsid w:val="00515E0A"/>
    <w:rsid w:val="00532BBB"/>
    <w:rsid w:val="0053692D"/>
    <w:rsid w:val="00540F67"/>
    <w:rsid w:val="0054538C"/>
    <w:rsid w:val="00551267"/>
    <w:rsid w:val="00553CBC"/>
    <w:rsid w:val="00564E8C"/>
    <w:rsid w:val="00567241"/>
    <w:rsid w:val="0057051A"/>
    <w:rsid w:val="00572173"/>
    <w:rsid w:val="005978FC"/>
    <w:rsid w:val="005A03DD"/>
    <w:rsid w:val="005A07F6"/>
    <w:rsid w:val="005B07BD"/>
    <w:rsid w:val="005B74D4"/>
    <w:rsid w:val="005D5DF0"/>
    <w:rsid w:val="005E3EF3"/>
    <w:rsid w:val="005E5D86"/>
    <w:rsid w:val="00601D7E"/>
    <w:rsid w:val="00603C39"/>
    <w:rsid w:val="00616128"/>
    <w:rsid w:val="00623F1A"/>
    <w:rsid w:val="00624101"/>
    <w:rsid w:val="00624423"/>
    <w:rsid w:val="00624EA3"/>
    <w:rsid w:val="00635428"/>
    <w:rsid w:val="00644015"/>
    <w:rsid w:val="0065307B"/>
    <w:rsid w:val="00664417"/>
    <w:rsid w:val="00664AB8"/>
    <w:rsid w:val="00673C7A"/>
    <w:rsid w:val="00673ED2"/>
    <w:rsid w:val="00682009"/>
    <w:rsid w:val="00687048"/>
    <w:rsid w:val="00691142"/>
    <w:rsid w:val="00695D47"/>
    <w:rsid w:val="00696B96"/>
    <w:rsid w:val="006C0693"/>
    <w:rsid w:val="006C1806"/>
    <w:rsid w:val="006D4F4B"/>
    <w:rsid w:val="006E1F97"/>
    <w:rsid w:val="006E21C9"/>
    <w:rsid w:val="006F2396"/>
    <w:rsid w:val="006F69D9"/>
    <w:rsid w:val="00701C0F"/>
    <w:rsid w:val="00701FB5"/>
    <w:rsid w:val="00703A19"/>
    <w:rsid w:val="00705121"/>
    <w:rsid w:val="00713120"/>
    <w:rsid w:val="00715A37"/>
    <w:rsid w:val="00715EC6"/>
    <w:rsid w:val="00721DD9"/>
    <w:rsid w:val="007224AE"/>
    <w:rsid w:val="007318D7"/>
    <w:rsid w:val="00734EF7"/>
    <w:rsid w:val="00735AC3"/>
    <w:rsid w:val="007572D2"/>
    <w:rsid w:val="007875CD"/>
    <w:rsid w:val="0079078B"/>
    <w:rsid w:val="00795AB8"/>
    <w:rsid w:val="00796105"/>
    <w:rsid w:val="007A18C3"/>
    <w:rsid w:val="007A2FD2"/>
    <w:rsid w:val="007B40EA"/>
    <w:rsid w:val="007B491B"/>
    <w:rsid w:val="007B4C75"/>
    <w:rsid w:val="007C22B4"/>
    <w:rsid w:val="007C6C97"/>
    <w:rsid w:val="007D0345"/>
    <w:rsid w:val="007F5955"/>
    <w:rsid w:val="008020FE"/>
    <w:rsid w:val="0080390D"/>
    <w:rsid w:val="00804927"/>
    <w:rsid w:val="00820734"/>
    <w:rsid w:val="00820EF7"/>
    <w:rsid w:val="008335C9"/>
    <w:rsid w:val="00840A4D"/>
    <w:rsid w:val="00845803"/>
    <w:rsid w:val="00850625"/>
    <w:rsid w:val="00851564"/>
    <w:rsid w:val="00860013"/>
    <w:rsid w:val="00872210"/>
    <w:rsid w:val="0088232F"/>
    <w:rsid w:val="008905B0"/>
    <w:rsid w:val="0089182C"/>
    <w:rsid w:val="00893AA9"/>
    <w:rsid w:val="008959A4"/>
    <w:rsid w:val="008A438A"/>
    <w:rsid w:val="008B58CA"/>
    <w:rsid w:val="008C3C36"/>
    <w:rsid w:val="008C56C0"/>
    <w:rsid w:val="008C5FF6"/>
    <w:rsid w:val="008C74F7"/>
    <w:rsid w:val="008D2B34"/>
    <w:rsid w:val="008D3D05"/>
    <w:rsid w:val="008E0612"/>
    <w:rsid w:val="008E57BB"/>
    <w:rsid w:val="008E6349"/>
    <w:rsid w:val="008F2D06"/>
    <w:rsid w:val="00902FA2"/>
    <w:rsid w:val="00903C7D"/>
    <w:rsid w:val="009213C6"/>
    <w:rsid w:val="009370AA"/>
    <w:rsid w:val="00944A67"/>
    <w:rsid w:val="00960448"/>
    <w:rsid w:val="00963013"/>
    <w:rsid w:val="0097001C"/>
    <w:rsid w:val="009714AB"/>
    <w:rsid w:val="00972447"/>
    <w:rsid w:val="00980529"/>
    <w:rsid w:val="00981518"/>
    <w:rsid w:val="00981803"/>
    <w:rsid w:val="0098279C"/>
    <w:rsid w:val="009907D3"/>
    <w:rsid w:val="0099656A"/>
    <w:rsid w:val="009B77AD"/>
    <w:rsid w:val="009B77B5"/>
    <w:rsid w:val="009D6281"/>
    <w:rsid w:val="009E21B1"/>
    <w:rsid w:val="009F616E"/>
    <w:rsid w:val="009F78A7"/>
    <w:rsid w:val="00A14655"/>
    <w:rsid w:val="00A20F72"/>
    <w:rsid w:val="00A21BEB"/>
    <w:rsid w:val="00A22EC0"/>
    <w:rsid w:val="00A46C19"/>
    <w:rsid w:val="00A51DDF"/>
    <w:rsid w:val="00A572B1"/>
    <w:rsid w:val="00A616D9"/>
    <w:rsid w:val="00A655AF"/>
    <w:rsid w:val="00A821D1"/>
    <w:rsid w:val="00A83F3E"/>
    <w:rsid w:val="00A951AB"/>
    <w:rsid w:val="00AA1B49"/>
    <w:rsid w:val="00AA6265"/>
    <w:rsid w:val="00AA6709"/>
    <w:rsid w:val="00AB02B6"/>
    <w:rsid w:val="00AB3762"/>
    <w:rsid w:val="00AC2D48"/>
    <w:rsid w:val="00AC3A70"/>
    <w:rsid w:val="00AC5419"/>
    <w:rsid w:val="00AC6F23"/>
    <w:rsid w:val="00AD5669"/>
    <w:rsid w:val="00AD5E82"/>
    <w:rsid w:val="00AF0D73"/>
    <w:rsid w:val="00B133AE"/>
    <w:rsid w:val="00B228B5"/>
    <w:rsid w:val="00B251E6"/>
    <w:rsid w:val="00B31774"/>
    <w:rsid w:val="00B36F0F"/>
    <w:rsid w:val="00B5259A"/>
    <w:rsid w:val="00B56966"/>
    <w:rsid w:val="00B56E10"/>
    <w:rsid w:val="00B620D4"/>
    <w:rsid w:val="00B77527"/>
    <w:rsid w:val="00B77FE3"/>
    <w:rsid w:val="00B8038E"/>
    <w:rsid w:val="00B8469F"/>
    <w:rsid w:val="00B85BF7"/>
    <w:rsid w:val="00B96FA4"/>
    <w:rsid w:val="00BA0435"/>
    <w:rsid w:val="00BA7E26"/>
    <w:rsid w:val="00BB55EA"/>
    <w:rsid w:val="00BD614B"/>
    <w:rsid w:val="00BE0EAE"/>
    <w:rsid w:val="00BE7E91"/>
    <w:rsid w:val="00BF221D"/>
    <w:rsid w:val="00BF447F"/>
    <w:rsid w:val="00BF54E8"/>
    <w:rsid w:val="00C01EA2"/>
    <w:rsid w:val="00C13A40"/>
    <w:rsid w:val="00C16371"/>
    <w:rsid w:val="00C2116F"/>
    <w:rsid w:val="00C2422B"/>
    <w:rsid w:val="00C31C0B"/>
    <w:rsid w:val="00C333A2"/>
    <w:rsid w:val="00C33D8A"/>
    <w:rsid w:val="00C37860"/>
    <w:rsid w:val="00C37BD4"/>
    <w:rsid w:val="00C400B1"/>
    <w:rsid w:val="00C41849"/>
    <w:rsid w:val="00C4287D"/>
    <w:rsid w:val="00C81580"/>
    <w:rsid w:val="00C83391"/>
    <w:rsid w:val="00C87DC4"/>
    <w:rsid w:val="00CA3E7E"/>
    <w:rsid w:val="00CA5DA0"/>
    <w:rsid w:val="00CB20D1"/>
    <w:rsid w:val="00CB5104"/>
    <w:rsid w:val="00CC2AB5"/>
    <w:rsid w:val="00CC6438"/>
    <w:rsid w:val="00CD1622"/>
    <w:rsid w:val="00CE3F1E"/>
    <w:rsid w:val="00D05482"/>
    <w:rsid w:val="00D16C8E"/>
    <w:rsid w:val="00D178F2"/>
    <w:rsid w:val="00D43AF7"/>
    <w:rsid w:val="00D43F69"/>
    <w:rsid w:val="00D459B2"/>
    <w:rsid w:val="00D464D3"/>
    <w:rsid w:val="00D47917"/>
    <w:rsid w:val="00D6097B"/>
    <w:rsid w:val="00D7620E"/>
    <w:rsid w:val="00DA26CD"/>
    <w:rsid w:val="00DA6370"/>
    <w:rsid w:val="00DA6A6F"/>
    <w:rsid w:val="00DB0BF9"/>
    <w:rsid w:val="00DB7538"/>
    <w:rsid w:val="00DC1899"/>
    <w:rsid w:val="00DC30AD"/>
    <w:rsid w:val="00DC3AC1"/>
    <w:rsid w:val="00DD7DF8"/>
    <w:rsid w:val="00DE02FA"/>
    <w:rsid w:val="00DE3551"/>
    <w:rsid w:val="00DE44CC"/>
    <w:rsid w:val="00DE7086"/>
    <w:rsid w:val="00DF1D44"/>
    <w:rsid w:val="00E03788"/>
    <w:rsid w:val="00E31F1D"/>
    <w:rsid w:val="00E41C46"/>
    <w:rsid w:val="00E434E4"/>
    <w:rsid w:val="00E44EE7"/>
    <w:rsid w:val="00E46E2B"/>
    <w:rsid w:val="00E618B9"/>
    <w:rsid w:val="00E62E36"/>
    <w:rsid w:val="00E70396"/>
    <w:rsid w:val="00E97582"/>
    <w:rsid w:val="00EA5A19"/>
    <w:rsid w:val="00EB0A53"/>
    <w:rsid w:val="00EB7386"/>
    <w:rsid w:val="00EC44A1"/>
    <w:rsid w:val="00ED0AA2"/>
    <w:rsid w:val="00ED1EDE"/>
    <w:rsid w:val="00ED39EA"/>
    <w:rsid w:val="00ED68DD"/>
    <w:rsid w:val="00EE377F"/>
    <w:rsid w:val="00EE53E9"/>
    <w:rsid w:val="00EE60ED"/>
    <w:rsid w:val="00EF4574"/>
    <w:rsid w:val="00EF6402"/>
    <w:rsid w:val="00EF699E"/>
    <w:rsid w:val="00F04BC7"/>
    <w:rsid w:val="00F0504A"/>
    <w:rsid w:val="00F074FF"/>
    <w:rsid w:val="00F15D2A"/>
    <w:rsid w:val="00F168CC"/>
    <w:rsid w:val="00F252C9"/>
    <w:rsid w:val="00F27D63"/>
    <w:rsid w:val="00F372B1"/>
    <w:rsid w:val="00F4585B"/>
    <w:rsid w:val="00F52E8D"/>
    <w:rsid w:val="00F54C76"/>
    <w:rsid w:val="00F619CC"/>
    <w:rsid w:val="00F64E5A"/>
    <w:rsid w:val="00F67826"/>
    <w:rsid w:val="00F70A43"/>
    <w:rsid w:val="00F751B9"/>
    <w:rsid w:val="00F80301"/>
    <w:rsid w:val="00FA1560"/>
    <w:rsid w:val="00FB14E0"/>
    <w:rsid w:val="00FB152F"/>
    <w:rsid w:val="00FB1B7F"/>
    <w:rsid w:val="00FB6BD2"/>
    <w:rsid w:val="00FB7515"/>
    <w:rsid w:val="00FC100A"/>
    <w:rsid w:val="00FE1278"/>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E2B"/>
    <w:pPr>
      <w:ind w:left="720"/>
      <w:contextualSpacing/>
    </w:pPr>
  </w:style>
  <w:style w:type="paragraph" w:styleId="BalloonText">
    <w:name w:val="Balloon Text"/>
    <w:basedOn w:val="Normal"/>
    <w:link w:val="BalloonTextChar"/>
    <w:uiPriority w:val="99"/>
    <w:semiHidden/>
    <w:unhideWhenUsed/>
    <w:rsid w:val="00AB376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B3762"/>
    <w:rPr>
      <w:rFonts w:ascii="Tahoma" w:hAnsi="Tahoma" w:cs="Tahoma"/>
      <w:sz w:val="16"/>
      <w:szCs w:val="16"/>
    </w:rPr>
  </w:style>
  <w:style w:type="paragraph" w:styleId="Header">
    <w:name w:val="header"/>
    <w:basedOn w:val="Normal"/>
    <w:link w:val="HeaderChar"/>
    <w:uiPriority w:val="99"/>
    <w:unhideWhenUsed/>
    <w:rsid w:val="00AB3762"/>
    <w:pPr>
      <w:tabs>
        <w:tab w:val="center" w:pos="4680"/>
        <w:tab w:val="right" w:pos="9360"/>
      </w:tabs>
    </w:pPr>
    <w:rPr>
      <w:lang w:val="x-none" w:eastAsia="x-none"/>
    </w:rPr>
  </w:style>
  <w:style w:type="character" w:customStyle="1" w:styleId="HeaderChar">
    <w:name w:val="Header Char"/>
    <w:link w:val="Header"/>
    <w:uiPriority w:val="99"/>
    <w:rsid w:val="00AB3762"/>
    <w:rPr>
      <w:sz w:val="22"/>
      <w:szCs w:val="22"/>
    </w:rPr>
  </w:style>
  <w:style w:type="paragraph" w:styleId="Footer">
    <w:name w:val="footer"/>
    <w:basedOn w:val="Normal"/>
    <w:link w:val="FooterChar"/>
    <w:uiPriority w:val="99"/>
    <w:unhideWhenUsed/>
    <w:rsid w:val="00AB3762"/>
    <w:pPr>
      <w:tabs>
        <w:tab w:val="center" w:pos="4680"/>
        <w:tab w:val="right" w:pos="9360"/>
      </w:tabs>
    </w:pPr>
    <w:rPr>
      <w:lang w:val="x-none" w:eastAsia="x-none"/>
    </w:rPr>
  </w:style>
  <w:style w:type="character" w:customStyle="1" w:styleId="FooterChar">
    <w:name w:val="Footer Char"/>
    <w:link w:val="Footer"/>
    <w:uiPriority w:val="99"/>
    <w:rsid w:val="00AB3762"/>
    <w:rPr>
      <w:sz w:val="22"/>
      <w:szCs w:val="22"/>
    </w:rPr>
  </w:style>
  <w:style w:type="character" w:styleId="CommentReference">
    <w:name w:val="annotation reference"/>
    <w:uiPriority w:val="99"/>
    <w:semiHidden/>
    <w:unhideWhenUsed/>
    <w:rsid w:val="00CB20D1"/>
    <w:rPr>
      <w:sz w:val="16"/>
      <w:szCs w:val="16"/>
    </w:rPr>
  </w:style>
  <w:style w:type="paragraph" w:styleId="CommentText">
    <w:name w:val="annotation text"/>
    <w:basedOn w:val="Normal"/>
    <w:link w:val="CommentTextChar"/>
    <w:uiPriority w:val="99"/>
    <w:semiHidden/>
    <w:unhideWhenUsed/>
    <w:rsid w:val="00CB20D1"/>
    <w:rPr>
      <w:sz w:val="20"/>
      <w:szCs w:val="20"/>
    </w:rPr>
  </w:style>
  <w:style w:type="character" w:customStyle="1" w:styleId="CommentTextChar">
    <w:name w:val="Comment Text Char"/>
    <w:basedOn w:val="DefaultParagraphFont"/>
    <w:link w:val="CommentText"/>
    <w:uiPriority w:val="99"/>
    <w:semiHidden/>
    <w:rsid w:val="00CB20D1"/>
  </w:style>
  <w:style w:type="paragraph" w:styleId="CommentSubject">
    <w:name w:val="annotation subject"/>
    <w:basedOn w:val="CommentText"/>
    <w:next w:val="CommentText"/>
    <w:link w:val="CommentSubjectChar"/>
    <w:uiPriority w:val="99"/>
    <w:semiHidden/>
    <w:unhideWhenUsed/>
    <w:rsid w:val="00CB20D1"/>
    <w:rPr>
      <w:b/>
      <w:bCs/>
      <w:lang w:val="x-none" w:eastAsia="x-none"/>
    </w:rPr>
  </w:style>
  <w:style w:type="character" w:customStyle="1" w:styleId="CommentSubjectChar">
    <w:name w:val="Comment Subject Char"/>
    <w:link w:val="CommentSubject"/>
    <w:uiPriority w:val="99"/>
    <w:semiHidden/>
    <w:rsid w:val="00CB20D1"/>
    <w:rPr>
      <w:b/>
      <w:bCs/>
    </w:rPr>
  </w:style>
  <w:style w:type="table" w:styleId="TableGrid">
    <w:name w:val="Table Grid"/>
    <w:basedOn w:val="TableNormal"/>
    <w:uiPriority w:val="59"/>
    <w:rsid w:val="00532BBB"/>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714AB"/>
    <w:rPr>
      <w:color w:val="0000FF"/>
      <w:u w:val="single"/>
    </w:rPr>
  </w:style>
  <w:style w:type="paragraph" w:styleId="FootnoteText">
    <w:name w:val="footnote text"/>
    <w:basedOn w:val="Normal"/>
    <w:link w:val="FootnoteTextChar"/>
    <w:uiPriority w:val="99"/>
    <w:semiHidden/>
    <w:unhideWhenUsed/>
    <w:rsid w:val="00850625"/>
    <w:rPr>
      <w:sz w:val="20"/>
      <w:szCs w:val="20"/>
    </w:rPr>
  </w:style>
  <w:style w:type="character" w:customStyle="1" w:styleId="FootnoteTextChar">
    <w:name w:val="Footnote Text Char"/>
    <w:basedOn w:val="DefaultParagraphFont"/>
    <w:link w:val="FootnoteText"/>
    <w:uiPriority w:val="99"/>
    <w:semiHidden/>
    <w:rsid w:val="00850625"/>
  </w:style>
  <w:style w:type="character" w:styleId="FootnoteReference">
    <w:name w:val="footnote reference"/>
    <w:uiPriority w:val="99"/>
    <w:semiHidden/>
    <w:unhideWhenUsed/>
    <w:rsid w:val="008506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E2B"/>
    <w:pPr>
      <w:ind w:left="720"/>
      <w:contextualSpacing/>
    </w:pPr>
  </w:style>
  <w:style w:type="paragraph" w:styleId="BalloonText">
    <w:name w:val="Balloon Text"/>
    <w:basedOn w:val="Normal"/>
    <w:link w:val="BalloonTextChar"/>
    <w:uiPriority w:val="99"/>
    <w:semiHidden/>
    <w:unhideWhenUsed/>
    <w:rsid w:val="00AB376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B3762"/>
    <w:rPr>
      <w:rFonts w:ascii="Tahoma" w:hAnsi="Tahoma" w:cs="Tahoma"/>
      <w:sz w:val="16"/>
      <w:szCs w:val="16"/>
    </w:rPr>
  </w:style>
  <w:style w:type="paragraph" w:styleId="Header">
    <w:name w:val="header"/>
    <w:basedOn w:val="Normal"/>
    <w:link w:val="HeaderChar"/>
    <w:uiPriority w:val="99"/>
    <w:unhideWhenUsed/>
    <w:rsid w:val="00AB3762"/>
    <w:pPr>
      <w:tabs>
        <w:tab w:val="center" w:pos="4680"/>
        <w:tab w:val="right" w:pos="9360"/>
      </w:tabs>
    </w:pPr>
    <w:rPr>
      <w:lang w:val="x-none" w:eastAsia="x-none"/>
    </w:rPr>
  </w:style>
  <w:style w:type="character" w:customStyle="1" w:styleId="HeaderChar">
    <w:name w:val="Header Char"/>
    <w:link w:val="Header"/>
    <w:uiPriority w:val="99"/>
    <w:rsid w:val="00AB3762"/>
    <w:rPr>
      <w:sz w:val="22"/>
      <w:szCs w:val="22"/>
    </w:rPr>
  </w:style>
  <w:style w:type="paragraph" w:styleId="Footer">
    <w:name w:val="footer"/>
    <w:basedOn w:val="Normal"/>
    <w:link w:val="FooterChar"/>
    <w:uiPriority w:val="99"/>
    <w:unhideWhenUsed/>
    <w:rsid w:val="00AB3762"/>
    <w:pPr>
      <w:tabs>
        <w:tab w:val="center" w:pos="4680"/>
        <w:tab w:val="right" w:pos="9360"/>
      </w:tabs>
    </w:pPr>
    <w:rPr>
      <w:lang w:val="x-none" w:eastAsia="x-none"/>
    </w:rPr>
  </w:style>
  <w:style w:type="character" w:customStyle="1" w:styleId="FooterChar">
    <w:name w:val="Footer Char"/>
    <w:link w:val="Footer"/>
    <w:uiPriority w:val="99"/>
    <w:rsid w:val="00AB3762"/>
    <w:rPr>
      <w:sz w:val="22"/>
      <w:szCs w:val="22"/>
    </w:rPr>
  </w:style>
  <w:style w:type="character" w:styleId="CommentReference">
    <w:name w:val="annotation reference"/>
    <w:uiPriority w:val="99"/>
    <w:semiHidden/>
    <w:unhideWhenUsed/>
    <w:rsid w:val="00CB20D1"/>
    <w:rPr>
      <w:sz w:val="16"/>
      <w:szCs w:val="16"/>
    </w:rPr>
  </w:style>
  <w:style w:type="paragraph" w:styleId="CommentText">
    <w:name w:val="annotation text"/>
    <w:basedOn w:val="Normal"/>
    <w:link w:val="CommentTextChar"/>
    <w:uiPriority w:val="99"/>
    <w:semiHidden/>
    <w:unhideWhenUsed/>
    <w:rsid w:val="00CB20D1"/>
    <w:rPr>
      <w:sz w:val="20"/>
      <w:szCs w:val="20"/>
    </w:rPr>
  </w:style>
  <w:style w:type="character" w:customStyle="1" w:styleId="CommentTextChar">
    <w:name w:val="Comment Text Char"/>
    <w:basedOn w:val="DefaultParagraphFont"/>
    <w:link w:val="CommentText"/>
    <w:uiPriority w:val="99"/>
    <w:semiHidden/>
    <w:rsid w:val="00CB20D1"/>
  </w:style>
  <w:style w:type="paragraph" w:styleId="CommentSubject">
    <w:name w:val="annotation subject"/>
    <w:basedOn w:val="CommentText"/>
    <w:next w:val="CommentText"/>
    <w:link w:val="CommentSubjectChar"/>
    <w:uiPriority w:val="99"/>
    <w:semiHidden/>
    <w:unhideWhenUsed/>
    <w:rsid w:val="00CB20D1"/>
    <w:rPr>
      <w:b/>
      <w:bCs/>
      <w:lang w:val="x-none" w:eastAsia="x-none"/>
    </w:rPr>
  </w:style>
  <w:style w:type="character" w:customStyle="1" w:styleId="CommentSubjectChar">
    <w:name w:val="Comment Subject Char"/>
    <w:link w:val="CommentSubject"/>
    <w:uiPriority w:val="99"/>
    <w:semiHidden/>
    <w:rsid w:val="00CB20D1"/>
    <w:rPr>
      <w:b/>
      <w:bCs/>
    </w:rPr>
  </w:style>
  <w:style w:type="table" w:styleId="TableGrid">
    <w:name w:val="Table Grid"/>
    <w:basedOn w:val="TableNormal"/>
    <w:uiPriority w:val="59"/>
    <w:rsid w:val="00532BBB"/>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714AB"/>
    <w:rPr>
      <w:color w:val="0000FF"/>
      <w:u w:val="single"/>
    </w:rPr>
  </w:style>
  <w:style w:type="paragraph" w:styleId="FootnoteText">
    <w:name w:val="footnote text"/>
    <w:basedOn w:val="Normal"/>
    <w:link w:val="FootnoteTextChar"/>
    <w:uiPriority w:val="99"/>
    <w:semiHidden/>
    <w:unhideWhenUsed/>
    <w:rsid w:val="00850625"/>
    <w:rPr>
      <w:sz w:val="20"/>
      <w:szCs w:val="20"/>
    </w:rPr>
  </w:style>
  <w:style w:type="character" w:customStyle="1" w:styleId="FootnoteTextChar">
    <w:name w:val="Footnote Text Char"/>
    <w:basedOn w:val="DefaultParagraphFont"/>
    <w:link w:val="FootnoteText"/>
    <w:uiPriority w:val="99"/>
    <w:semiHidden/>
    <w:rsid w:val="00850625"/>
  </w:style>
  <w:style w:type="character" w:styleId="FootnoteReference">
    <w:name w:val="footnote reference"/>
    <w:uiPriority w:val="99"/>
    <w:semiHidden/>
    <w:unhideWhenUsed/>
    <w:rsid w:val="008506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458675">
      <w:bodyDiv w:val="1"/>
      <w:marLeft w:val="0"/>
      <w:marRight w:val="0"/>
      <w:marTop w:val="0"/>
      <w:marBottom w:val="0"/>
      <w:divBdr>
        <w:top w:val="none" w:sz="0" w:space="0" w:color="auto"/>
        <w:left w:val="none" w:sz="0" w:space="0" w:color="auto"/>
        <w:bottom w:val="none" w:sz="0" w:space="0" w:color="auto"/>
        <w:right w:val="none" w:sz="0" w:space="0" w:color="auto"/>
      </w:divBdr>
    </w:div>
    <w:div w:id="888809630">
      <w:bodyDiv w:val="1"/>
      <w:marLeft w:val="0"/>
      <w:marRight w:val="0"/>
      <w:marTop w:val="0"/>
      <w:marBottom w:val="0"/>
      <w:divBdr>
        <w:top w:val="none" w:sz="0" w:space="0" w:color="auto"/>
        <w:left w:val="none" w:sz="0" w:space="0" w:color="auto"/>
        <w:bottom w:val="none" w:sz="0" w:space="0" w:color="auto"/>
        <w:right w:val="none" w:sz="0" w:space="0" w:color="auto"/>
      </w:divBdr>
    </w:div>
    <w:div w:id="151264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F6F2D-5FA7-44CA-BCC6-92195CFC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2197</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Elsesser</dc:creator>
  <cp:lastModifiedBy>Glassman, Mary</cp:lastModifiedBy>
  <cp:revision>2</cp:revision>
  <cp:lastPrinted>2015-09-23T15:08:00Z</cp:lastPrinted>
  <dcterms:created xsi:type="dcterms:W3CDTF">2015-10-05T19:17:00Z</dcterms:created>
  <dcterms:modified xsi:type="dcterms:W3CDTF">2015-10-05T19:17:00Z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